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CB402F">
        <w:tc>
          <w:tcPr>
            <w:tcW w:w="5495" w:type="dxa"/>
          </w:tcPr>
          <w:p w:rsidR="005E62E9" w:rsidRPr="002169EF" w:rsidRDefault="005E62E9" w:rsidP="00CB402F">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BF3223">
            <w:pPr>
              <w:jc w:val="right"/>
              <w:rPr>
                <w:rFonts w:ascii="Verdana" w:hAnsi="Verdana"/>
                <w:b/>
                <w:bCs/>
                <w:sz w:val="20"/>
                <w:szCs w:val="20"/>
                <w:lang w:val="en-US"/>
              </w:rPr>
            </w:pPr>
            <w:r w:rsidRPr="002169EF">
              <w:rPr>
                <w:rFonts w:ascii="Verdana" w:hAnsi="Verdana"/>
                <w:b/>
                <w:bCs/>
                <w:sz w:val="20"/>
                <w:szCs w:val="20"/>
                <w:lang w:val="en-US"/>
              </w:rPr>
              <w:t>CAeM-MG/201</w:t>
            </w:r>
            <w:r w:rsidR="009060EC">
              <w:rPr>
                <w:rFonts w:ascii="Verdana" w:hAnsi="Verdana"/>
                <w:b/>
                <w:bCs/>
                <w:sz w:val="20"/>
                <w:szCs w:val="20"/>
                <w:lang w:val="en-US"/>
              </w:rPr>
              <w:t>6</w:t>
            </w:r>
            <w:r w:rsidR="005E62E9" w:rsidRPr="002169EF">
              <w:rPr>
                <w:rFonts w:ascii="Verdana" w:hAnsi="Verdana"/>
                <w:b/>
                <w:bCs/>
                <w:sz w:val="20"/>
                <w:szCs w:val="20"/>
                <w:lang w:val="en-US"/>
              </w:rPr>
              <w:t xml:space="preserve">/Doc. </w:t>
            </w:r>
            <w:r w:rsidR="00BF3223">
              <w:rPr>
                <w:rFonts w:ascii="Verdana" w:hAnsi="Verdana"/>
                <w:b/>
                <w:bCs/>
                <w:sz w:val="20"/>
                <w:szCs w:val="20"/>
                <w:lang w:val="en-US"/>
              </w:rPr>
              <w:t>7.</w:t>
            </w:r>
            <w:r w:rsidR="003C5A1F">
              <w:rPr>
                <w:rFonts w:ascii="Verdana" w:hAnsi="Verdana"/>
                <w:b/>
                <w:bCs/>
                <w:sz w:val="20"/>
                <w:szCs w:val="20"/>
                <w:lang w:val="en-US"/>
              </w:rPr>
              <w:t>2</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1C154A" w:rsidP="002169EF">
            <w:pPr>
              <w:spacing w:before="60"/>
              <w:jc w:val="right"/>
              <w:rPr>
                <w:rFonts w:ascii="Verdana" w:hAnsi="Verdana"/>
                <w:sz w:val="20"/>
                <w:szCs w:val="20"/>
              </w:rPr>
            </w:pPr>
            <w:r>
              <w:rPr>
                <w:rFonts w:ascii="Verdana" w:hAnsi="Verdana"/>
                <w:sz w:val="20"/>
                <w:szCs w:val="20"/>
              </w:rPr>
              <w:t>3</w:t>
            </w:r>
            <w:r w:rsidR="004B4533" w:rsidRPr="002169EF">
              <w:rPr>
                <w:rFonts w:ascii="Verdana" w:hAnsi="Verdana"/>
                <w:sz w:val="20"/>
                <w:szCs w:val="20"/>
              </w:rPr>
              <w:t>.</w:t>
            </w:r>
            <w:r w:rsidR="002169EF" w:rsidRPr="002169EF">
              <w:rPr>
                <w:rFonts w:ascii="Verdana" w:hAnsi="Verdana"/>
                <w:sz w:val="20"/>
                <w:szCs w:val="20"/>
              </w:rPr>
              <w:t>X</w:t>
            </w:r>
            <w:r>
              <w:rPr>
                <w:rFonts w:ascii="Verdana" w:hAnsi="Verdana"/>
                <w:sz w:val="20"/>
                <w:szCs w:val="20"/>
              </w:rPr>
              <w:t>I</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CB402F">
            <w:pPr>
              <w:pStyle w:val="WMOBodyText"/>
              <w:rPr>
                <w:rFonts w:ascii="Verdana" w:hAnsi="Verdana"/>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5E62E9" w:rsidP="00CB402F">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CB402F">
            <w:pPr>
              <w:ind w:right="-455"/>
              <w:rPr>
                <w:rFonts w:ascii="Verdana" w:hAnsi="Verdana"/>
                <w:snapToGrid w:val="0"/>
                <w:sz w:val="20"/>
                <w:szCs w:val="20"/>
              </w:rPr>
            </w:pPr>
          </w:p>
          <w:p w:rsidR="005E62E9" w:rsidRPr="002169EF" w:rsidRDefault="002169EF" w:rsidP="00CB402F">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071F24" w:rsidP="00CF1702">
            <w:pPr>
              <w:spacing w:before="60"/>
              <w:jc w:val="right"/>
              <w:rPr>
                <w:rFonts w:ascii="Verdana" w:hAnsi="Verdana"/>
                <w:sz w:val="20"/>
                <w:szCs w:val="20"/>
              </w:rPr>
            </w:pPr>
            <w:r w:rsidRPr="002169EF">
              <w:rPr>
                <w:rFonts w:ascii="Verdana" w:hAnsi="Verdana"/>
                <w:sz w:val="20"/>
                <w:szCs w:val="20"/>
              </w:rPr>
              <w:t>ITEM</w:t>
            </w:r>
            <w:r w:rsidR="00CF1702">
              <w:rPr>
                <w:rFonts w:ascii="Verdana" w:hAnsi="Verdana"/>
                <w:sz w:val="20"/>
                <w:szCs w:val="20"/>
              </w:rPr>
              <w:t>S</w:t>
            </w:r>
            <w:r w:rsidR="006120E2" w:rsidRPr="002169EF">
              <w:rPr>
                <w:rFonts w:ascii="Verdana" w:hAnsi="Verdana"/>
                <w:sz w:val="20"/>
                <w:szCs w:val="20"/>
              </w:rPr>
              <w:t xml:space="preserve"> </w:t>
            </w:r>
            <w:r w:rsidR="00BF3223">
              <w:rPr>
                <w:rFonts w:ascii="Verdana" w:hAnsi="Verdana"/>
                <w:sz w:val="20"/>
                <w:szCs w:val="20"/>
              </w:rPr>
              <w:t>7.</w:t>
            </w:r>
            <w:r w:rsidR="003C5A1F">
              <w:rPr>
                <w:rFonts w:ascii="Verdana" w:hAnsi="Verdana"/>
                <w:sz w:val="20"/>
                <w:szCs w:val="20"/>
              </w:rPr>
              <w:t>2</w:t>
            </w:r>
          </w:p>
        </w:tc>
      </w:tr>
      <w:tr w:rsidR="005E62E9" w:rsidRPr="002169EF" w:rsidTr="004B4533">
        <w:tc>
          <w:tcPr>
            <w:tcW w:w="5495" w:type="dxa"/>
            <w:vMerge/>
            <w:tcBorders>
              <w:bottom w:val="single" w:sz="4" w:space="0" w:color="auto"/>
            </w:tcBorders>
          </w:tcPr>
          <w:p w:rsidR="005E62E9" w:rsidRPr="002169EF" w:rsidRDefault="005E62E9" w:rsidP="00CB402F">
            <w:pPr>
              <w:rPr>
                <w:rFonts w:ascii="Verdana" w:hAnsi="Verdana"/>
                <w:sz w:val="20"/>
                <w:szCs w:val="20"/>
              </w:rPr>
            </w:pPr>
          </w:p>
        </w:tc>
        <w:tc>
          <w:tcPr>
            <w:tcW w:w="2835" w:type="dxa"/>
            <w:tcBorders>
              <w:bottom w:val="single" w:sz="4" w:space="0" w:color="auto"/>
            </w:tcBorders>
            <w:vAlign w:val="center"/>
          </w:tcPr>
          <w:p w:rsidR="005E62E9" w:rsidRPr="002169EF" w:rsidRDefault="005E62E9" w:rsidP="00CB402F">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CB402F">
            <w:pPr>
              <w:jc w:val="right"/>
              <w:rPr>
                <w:rFonts w:ascii="Verdana" w:hAnsi="Verdana"/>
                <w:sz w:val="20"/>
                <w:szCs w:val="20"/>
              </w:rPr>
            </w:pPr>
          </w:p>
          <w:p w:rsidR="004B4533" w:rsidRPr="002169EF" w:rsidRDefault="004B4533" w:rsidP="00CB402F">
            <w:pPr>
              <w:jc w:val="right"/>
              <w:rPr>
                <w:rFonts w:ascii="Verdana" w:hAnsi="Verdana"/>
                <w:sz w:val="20"/>
                <w:szCs w:val="20"/>
              </w:rPr>
            </w:pPr>
          </w:p>
          <w:p w:rsidR="005E62E9" w:rsidRPr="002169EF" w:rsidRDefault="004B4533" w:rsidP="00CB402F">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BF3223" w:rsidRDefault="00BF3223" w:rsidP="00BF6F78">
      <w:pPr>
        <w:jc w:val="center"/>
        <w:rPr>
          <w:rFonts w:ascii="Verdana" w:hAnsi="Verdana"/>
          <w:b/>
          <w:color w:val="000000"/>
          <w:sz w:val="20"/>
          <w:szCs w:val="20"/>
        </w:rPr>
      </w:pPr>
      <w:r>
        <w:rPr>
          <w:rFonts w:ascii="Verdana" w:hAnsi="Verdana"/>
          <w:b/>
          <w:color w:val="000000"/>
          <w:sz w:val="20"/>
          <w:szCs w:val="20"/>
        </w:rPr>
        <w:t xml:space="preserve">COOPERATION WITH OTHER WMO BODIES </w:t>
      </w:r>
    </w:p>
    <w:p w:rsidR="00613C50" w:rsidRPr="002169EF" w:rsidRDefault="00BF3223" w:rsidP="00BF6F78">
      <w:pPr>
        <w:jc w:val="center"/>
        <w:rPr>
          <w:rFonts w:ascii="Verdana" w:hAnsi="Verdana"/>
          <w:b/>
          <w:color w:val="000000"/>
          <w:sz w:val="20"/>
          <w:szCs w:val="20"/>
        </w:rPr>
      </w:pPr>
      <w:r>
        <w:rPr>
          <w:rFonts w:ascii="Verdana" w:hAnsi="Verdana"/>
          <w:b/>
          <w:color w:val="000000"/>
          <w:sz w:val="20"/>
          <w:szCs w:val="20"/>
        </w:rPr>
        <w:t>AND INTERNATIONAL ORGANIZATIONS</w:t>
      </w:r>
    </w:p>
    <w:p w:rsidR="00BF6F78" w:rsidRPr="002169EF" w:rsidRDefault="00BF6F78" w:rsidP="00BF6F78">
      <w:pPr>
        <w:jc w:val="center"/>
        <w:rPr>
          <w:rFonts w:ascii="Verdana" w:hAnsi="Verdana"/>
          <w:sz w:val="20"/>
          <w:szCs w:val="20"/>
        </w:rPr>
      </w:pPr>
    </w:p>
    <w:p w:rsidR="00826DAF" w:rsidRPr="002169EF" w:rsidRDefault="008C3DB0" w:rsidP="00CF1702">
      <w:pPr>
        <w:jc w:val="center"/>
        <w:rPr>
          <w:rFonts w:ascii="Verdana" w:hAnsi="Verdana"/>
          <w:sz w:val="20"/>
          <w:szCs w:val="20"/>
        </w:rPr>
      </w:pPr>
      <w:r>
        <w:rPr>
          <w:rFonts w:ascii="Verdana" w:hAnsi="Verdana"/>
          <w:sz w:val="20"/>
          <w:szCs w:val="20"/>
        </w:rPr>
        <w:t>Regional activities</w:t>
      </w:r>
    </w:p>
    <w:p w:rsidR="00BF6F78" w:rsidRPr="002169EF" w:rsidRDefault="00BF6F78" w:rsidP="00826DAF">
      <w:pPr>
        <w:jc w:val="center"/>
        <w:rPr>
          <w:rFonts w:ascii="Verdana" w:hAnsi="Verdana"/>
          <w:sz w:val="20"/>
          <w:szCs w:val="20"/>
        </w:rPr>
      </w:pPr>
    </w:p>
    <w:p w:rsidR="00826DAF" w:rsidRPr="002169EF" w:rsidRDefault="00826DAF" w:rsidP="00FF3BB9">
      <w:pPr>
        <w:jc w:val="center"/>
        <w:rPr>
          <w:rFonts w:ascii="Verdana" w:hAnsi="Verdana"/>
          <w:i/>
          <w:sz w:val="20"/>
          <w:szCs w:val="20"/>
        </w:rPr>
      </w:pPr>
      <w:r w:rsidRPr="002169EF">
        <w:rPr>
          <w:rFonts w:ascii="Verdana" w:hAnsi="Verdana"/>
          <w:i/>
          <w:sz w:val="20"/>
          <w:szCs w:val="20"/>
        </w:rPr>
        <w:t xml:space="preserve">(Submitted by </w:t>
      </w:r>
      <w:r w:rsidR="003368DC">
        <w:rPr>
          <w:rFonts w:ascii="Verdana" w:hAnsi="Verdana"/>
          <w:i/>
          <w:sz w:val="20"/>
          <w:szCs w:val="20"/>
        </w:rPr>
        <w:t xml:space="preserve">the </w:t>
      </w:r>
      <w:r w:rsidR="00FF3BB9">
        <w:rPr>
          <w:rFonts w:ascii="Verdana" w:hAnsi="Verdana"/>
          <w:i/>
          <w:sz w:val="20"/>
          <w:szCs w:val="20"/>
        </w:rPr>
        <w:t>WMO Secretariat</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Default="00826DAF" w:rsidP="00A92952">
            <w:pPr>
              <w:jc w:val="both"/>
              <w:rPr>
                <w:rFonts w:ascii="Verdana" w:hAnsi="Verdana" w:cs="Arial"/>
                <w:sz w:val="20"/>
                <w:szCs w:val="20"/>
              </w:rPr>
            </w:pPr>
            <w:r w:rsidRPr="002169EF">
              <w:rPr>
                <w:rFonts w:ascii="Verdana" w:hAnsi="Verdana" w:cs="Arial"/>
                <w:sz w:val="20"/>
                <w:szCs w:val="20"/>
              </w:rPr>
              <w:t xml:space="preserve">This document provides </w:t>
            </w:r>
            <w:r w:rsidR="00D26A50">
              <w:rPr>
                <w:rFonts w:ascii="Verdana" w:hAnsi="Verdana" w:cs="Arial"/>
                <w:sz w:val="20"/>
                <w:szCs w:val="20"/>
              </w:rPr>
              <w:t xml:space="preserve">information about the </w:t>
            </w:r>
            <w:r w:rsidR="003C5A1F">
              <w:rPr>
                <w:rFonts w:ascii="Verdana" w:hAnsi="Verdana" w:cs="Arial"/>
                <w:sz w:val="20"/>
                <w:szCs w:val="20"/>
              </w:rPr>
              <w:t>coordinated actions and tasks with the regional associations</w:t>
            </w:r>
            <w:r w:rsidRPr="002169EF">
              <w:rPr>
                <w:rFonts w:ascii="Verdana" w:hAnsi="Verdana" w:cs="Arial"/>
                <w:sz w:val="20"/>
                <w:szCs w:val="20"/>
              </w:rPr>
              <w:t>.</w:t>
            </w:r>
          </w:p>
          <w:p w:rsidR="00A92952" w:rsidRPr="002169EF" w:rsidRDefault="00A92952" w:rsidP="00A92952">
            <w:pPr>
              <w:jc w:val="both"/>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A03A9D" w:rsidRPr="002169EF" w:rsidRDefault="00A03A9D">
      <w:pPr>
        <w:pStyle w:val="BodyText"/>
        <w:ind w:firstLine="720"/>
        <w:rPr>
          <w:rFonts w:ascii="Verdana" w:hAnsi="Verdana"/>
          <w:sz w:val="20"/>
          <w:szCs w:val="20"/>
        </w:rPr>
      </w:pPr>
      <w:r w:rsidRPr="002169EF">
        <w:rPr>
          <w:rFonts w:ascii="Verdana" w:hAnsi="Verdana"/>
          <w:sz w:val="20"/>
          <w:szCs w:val="20"/>
        </w:rPr>
        <w:t xml:space="preserve">The Management Group (MG) is invited to </w:t>
      </w:r>
      <w:r w:rsidR="003C5A1F">
        <w:rPr>
          <w:rFonts w:ascii="Verdana" w:hAnsi="Verdana"/>
          <w:sz w:val="20"/>
          <w:szCs w:val="20"/>
        </w:rPr>
        <w:t>note the current and planned activities coordinated with the regional association in support of Members and provide advice as necessary</w:t>
      </w:r>
      <w:r w:rsidR="00D26A50">
        <w:rPr>
          <w:rFonts w:ascii="Verdana" w:hAnsi="Verdana"/>
          <w:sz w:val="20"/>
          <w:szCs w:val="20"/>
        </w:rPr>
        <w:t>.</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Default="00826DAF" w:rsidP="00A03A9D">
      <w:pPr>
        <w:rPr>
          <w:rFonts w:ascii="Verdana" w:hAnsi="Verdana"/>
          <w:sz w:val="20"/>
          <w:szCs w:val="20"/>
        </w:rPr>
      </w:pPr>
    </w:p>
    <w:p w:rsidR="001C154A" w:rsidRDefault="001C154A" w:rsidP="00A03A9D">
      <w:pPr>
        <w:rPr>
          <w:rFonts w:ascii="Verdana" w:hAnsi="Verdana"/>
          <w:sz w:val="20"/>
          <w:szCs w:val="20"/>
        </w:rPr>
      </w:pPr>
    </w:p>
    <w:p w:rsidR="001C154A" w:rsidRDefault="001C154A" w:rsidP="00A03A9D">
      <w:pPr>
        <w:rPr>
          <w:rFonts w:ascii="Verdana" w:hAnsi="Verdana"/>
          <w:sz w:val="20"/>
          <w:szCs w:val="20"/>
        </w:rPr>
      </w:pPr>
    </w:p>
    <w:p w:rsidR="001C154A" w:rsidRPr="002169EF" w:rsidRDefault="001C154A" w:rsidP="00A03A9D">
      <w:pPr>
        <w:rPr>
          <w:rFonts w:ascii="Verdana" w:hAnsi="Verdana"/>
          <w:sz w:val="20"/>
          <w:szCs w:val="20"/>
        </w:rPr>
      </w:pPr>
    </w:p>
    <w:p w:rsidR="001C154A" w:rsidRDefault="001C154A" w:rsidP="001C154A">
      <w:pPr>
        <w:pStyle w:val="ListParagraph"/>
        <w:ind w:left="0"/>
        <w:jc w:val="both"/>
        <w:rPr>
          <w:rFonts w:ascii="Verdana" w:hAnsi="Verdana"/>
          <w:bCs/>
          <w:i/>
          <w:iCs/>
          <w:sz w:val="20"/>
          <w:szCs w:val="20"/>
        </w:rPr>
      </w:pPr>
      <w:r w:rsidRPr="001C154A">
        <w:rPr>
          <w:rFonts w:ascii="Verdana" w:hAnsi="Verdana"/>
          <w:bCs/>
          <w:i/>
          <w:iCs/>
          <w:sz w:val="20"/>
          <w:szCs w:val="20"/>
          <w:u w:val="single"/>
        </w:rPr>
        <w:t>Note</w:t>
      </w:r>
      <w:r>
        <w:rPr>
          <w:rFonts w:ascii="Verdana" w:hAnsi="Verdana"/>
          <w:bCs/>
          <w:i/>
          <w:iCs/>
          <w:sz w:val="20"/>
          <w:szCs w:val="20"/>
        </w:rPr>
        <w:t xml:space="preserve">: </w:t>
      </w:r>
    </w:p>
    <w:p w:rsidR="001C154A" w:rsidRDefault="001C154A" w:rsidP="001C154A">
      <w:pPr>
        <w:pStyle w:val="ListParagraph"/>
        <w:ind w:left="0"/>
        <w:jc w:val="both"/>
        <w:rPr>
          <w:rFonts w:ascii="Verdana" w:hAnsi="Verdana"/>
          <w:bCs/>
          <w:i/>
          <w:iCs/>
          <w:sz w:val="20"/>
          <w:szCs w:val="20"/>
        </w:rPr>
      </w:pPr>
    </w:p>
    <w:p w:rsidR="001C154A" w:rsidRPr="009C73D2" w:rsidRDefault="001C154A" w:rsidP="001C154A">
      <w:pPr>
        <w:pStyle w:val="ListParagraph"/>
        <w:ind w:left="0"/>
        <w:jc w:val="both"/>
        <w:rPr>
          <w:rFonts w:ascii="Verdana" w:hAnsi="Verdana"/>
          <w:bCs/>
          <w:i/>
          <w:iCs/>
          <w:sz w:val="20"/>
          <w:szCs w:val="20"/>
        </w:rPr>
      </w:pPr>
      <w:r>
        <w:rPr>
          <w:rFonts w:ascii="Verdana" w:hAnsi="Verdana"/>
          <w:bCs/>
          <w:i/>
          <w:iCs/>
          <w:sz w:val="20"/>
          <w:szCs w:val="20"/>
        </w:rPr>
        <w:t xml:space="preserve">This document </w:t>
      </w:r>
      <w:r>
        <w:rPr>
          <w:rFonts w:ascii="Verdana" w:hAnsi="Verdana"/>
          <w:bCs/>
          <w:i/>
          <w:iCs/>
          <w:sz w:val="20"/>
          <w:szCs w:val="20"/>
        </w:rPr>
        <w:t>contains information</w:t>
      </w:r>
      <w:r>
        <w:rPr>
          <w:rFonts w:ascii="Verdana" w:hAnsi="Verdana"/>
          <w:bCs/>
          <w:i/>
          <w:iCs/>
          <w:sz w:val="20"/>
          <w:szCs w:val="20"/>
        </w:rPr>
        <w:t xml:space="preserve"> o</w:t>
      </w:r>
      <w:r>
        <w:rPr>
          <w:rFonts w:ascii="Verdana" w:hAnsi="Verdana"/>
          <w:bCs/>
          <w:i/>
          <w:iCs/>
          <w:sz w:val="20"/>
          <w:szCs w:val="20"/>
        </w:rPr>
        <w:t>n</w:t>
      </w:r>
      <w:r>
        <w:rPr>
          <w:rFonts w:ascii="Verdana" w:hAnsi="Verdana"/>
          <w:bCs/>
          <w:i/>
          <w:iCs/>
          <w:sz w:val="20"/>
          <w:szCs w:val="20"/>
        </w:rPr>
        <w:t xml:space="preserve"> activities coordinated mostly by the </w:t>
      </w:r>
      <w:proofErr w:type="spellStart"/>
      <w:r>
        <w:rPr>
          <w:rFonts w:ascii="Verdana" w:hAnsi="Verdana"/>
          <w:bCs/>
          <w:i/>
          <w:iCs/>
          <w:sz w:val="20"/>
          <w:szCs w:val="20"/>
        </w:rPr>
        <w:t>AeM</w:t>
      </w:r>
      <w:proofErr w:type="spellEnd"/>
      <w:r>
        <w:rPr>
          <w:rFonts w:ascii="Verdana" w:hAnsi="Verdana"/>
          <w:bCs/>
          <w:i/>
          <w:iCs/>
          <w:sz w:val="20"/>
          <w:szCs w:val="20"/>
        </w:rPr>
        <w:t xml:space="preserve"> Division of the WMO Secretariat to complement the regional activities information presented in the ET-CCP report</w:t>
      </w:r>
      <w:r w:rsidR="00A507FE">
        <w:rPr>
          <w:rFonts w:ascii="Verdana" w:hAnsi="Verdana"/>
          <w:bCs/>
          <w:i/>
          <w:iCs/>
          <w:sz w:val="20"/>
          <w:szCs w:val="20"/>
        </w:rPr>
        <w:t xml:space="preserve"> (</w:t>
      </w:r>
      <w:proofErr w:type="spellStart"/>
      <w:r w:rsidR="00A507FE">
        <w:rPr>
          <w:rFonts w:ascii="Verdana" w:hAnsi="Verdana"/>
          <w:bCs/>
          <w:i/>
          <w:iCs/>
          <w:sz w:val="20"/>
          <w:szCs w:val="20"/>
        </w:rPr>
        <w:t>CAeM</w:t>
      </w:r>
      <w:proofErr w:type="spellEnd"/>
      <w:r w:rsidR="00A507FE">
        <w:rPr>
          <w:rFonts w:ascii="Verdana" w:hAnsi="Verdana"/>
          <w:bCs/>
          <w:i/>
          <w:iCs/>
          <w:sz w:val="20"/>
          <w:szCs w:val="20"/>
        </w:rPr>
        <w:t>-MG/Doc. 4.1(2</w:t>
      </w:r>
      <w:r>
        <w:rPr>
          <w:rFonts w:ascii="Verdana" w:hAnsi="Verdana"/>
          <w:bCs/>
          <w:i/>
          <w:iCs/>
          <w:sz w:val="20"/>
          <w:szCs w:val="20"/>
        </w:rPr>
        <w:t>))</w:t>
      </w:r>
      <w:r>
        <w:rPr>
          <w:rFonts w:ascii="Verdana" w:hAnsi="Verdana"/>
          <w:bCs/>
          <w:i/>
          <w:iCs/>
          <w:sz w:val="20"/>
          <w:szCs w:val="20"/>
        </w:rPr>
        <w:t>.</w:t>
      </w:r>
    </w:p>
    <w:p w:rsidR="00E811C6" w:rsidRPr="002169EF" w:rsidRDefault="00E811C6" w:rsidP="00A03A9D">
      <w:pPr>
        <w:rPr>
          <w:rFonts w:ascii="Verdana" w:hAnsi="Verdana"/>
          <w:b/>
          <w:sz w:val="20"/>
          <w:szCs w:val="20"/>
        </w:rPr>
        <w:sectPr w:rsidR="00E811C6" w:rsidRPr="002169EF" w:rsidSect="00B02E5F">
          <w:headerReference w:type="default" r:id="rId9"/>
          <w:pgSz w:w="11907" w:h="16840" w:code="9"/>
          <w:pgMar w:top="851" w:right="1134" w:bottom="680" w:left="1134" w:header="454" w:footer="720" w:gutter="0"/>
          <w:cols w:space="720"/>
          <w:titlePg/>
          <w:docGrid w:linePitch="360"/>
        </w:sectPr>
      </w:pPr>
    </w:p>
    <w:p w:rsidR="00BB7F41" w:rsidRPr="00720557" w:rsidRDefault="00BB7F41" w:rsidP="00BB7F41">
      <w:pPr>
        <w:pStyle w:val="ListParagraph"/>
        <w:numPr>
          <w:ilvl w:val="0"/>
          <w:numId w:val="5"/>
        </w:numPr>
        <w:ind w:left="0" w:firstLine="0"/>
        <w:jc w:val="both"/>
        <w:rPr>
          <w:rFonts w:ascii="Verdana" w:hAnsi="Verdana"/>
          <w:b/>
          <w:sz w:val="20"/>
          <w:szCs w:val="20"/>
        </w:rPr>
      </w:pPr>
      <w:r w:rsidRPr="00720557">
        <w:rPr>
          <w:rFonts w:ascii="Verdana" w:hAnsi="Verdana"/>
          <w:b/>
          <w:sz w:val="20"/>
          <w:szCs w:val="20"/>
        </w:rPr>
        <w:lastRenderedPageBreak/>
        <w:t>EXECUTIVE SUMMARY</w:t>
      </w:r>
    </w:p>
    <w:p w:rsidR="00BB7F41" w:rsidRPr="002169EF" w:rsidRDefault="00BB7F41" w:rsidP="00BB7F41">
      <w:pPr>
        <w:jc w:val="both"/>
        <w:rPr>
          <w:rFonts w:ascii="Verdana" w:hAnsi="Verdana"/>
          <w:b/>
          <w:sz w:val="20"/>
          <w:szCs w:val="20"/>
        </w:rPr>
      </w:pPr>
    </w:p>
    <w:p w:rsidR="003C5A1F" w:rsidRPr="00B04847" w:rsidRDefault="003C5A1F" w:rsidP="003C5A1F">
      <w:pPr>
        <w:pStyle w:val="ListParagraph"/>
        <w:ind w:left="0"/>
        <w:jc w:val="both"/>
        <w:rPr>
          <w:rFonts w:ascii="Verdana" w:hAnsi="Verdana"/>
          <w:b/>
          <w:sz w:val="20"/>
          <w:szCs w:val="20"/>
        </w:rPr>
      </w:pPr>
      <w:r w:rsidRPr="00B04847">
        <w:rPr>
          <w:rFonts w:ascii="Verdana" w:hAnsi="Verdana"/>
          <w:b/>
          <w:sz w:val="20"/>
          <w:szCs w:val="20"/>
        </w:rPr>
        <w:t>Regional activities</w:t>
      </w:r>
    </w:p>
    <w:p w:rsidR="009C73D2" w:rsidRDefault="009C73D2" w:rsidP="003C5A1F">
      <w:pPr>
        <w:pStyle w:val="ListParagraph"/>
        <w:ind w:left="0"/>
        <w:jc w:val="both"/>
        <w:rPr>
          <w:rFonts w:ascii="Verdana" w:hAnsi="Verdana"/>
          <w:b/>
          <w:i/>
          <w:iCs/>
          <w:sz w:val="20"/>
          <w:szCs w:val="20"/>
        </w:rPr>
      </w:pPr>
    </w:p>
    <w:p w:rsidR="008C3DB0" w:rsidRDefault="008C3DB0" w:rsidP="00A92952">
      <w:pPr>
        <w:pStyle w:val="ListParagraph"/>
        <w:ind w:left="0"/>
        <w:jc w:val="both"/>
        <w:rPr>
          <w:rFonts w:ascii="Verdana" w:hAnsi="Verdana"/>
          <w:b/>
          <w:i/>
          <w:iCs/>
          <w:sz w:val="20"/>
          <w:szCs w:val="20"/>
        </w:rPr>
      </w:pPr>
      <w:r>
        <w:rPr>
          <w:rFonts w:ascii="Verdana" w:hAnsi="Verdana"/>
          <w:b/>
          <w:i/>
          <w:iCs/>
          <w:sz w:val="20"/>
          <w:szCs w:val="20"/>
        </w:rPr>
        <w:t xml:space="preserve">RA </w:t>
      </w:r>
      <w:r w:rsidR="00A92952">
        <w:rPr>
          <w:rFonts w:ascii="Verdana" w:hAnsi="Verdana"/>
          <w:b/>
          <w:i/>
          <w:iCs/>
          <w:sz w:val="20"/>
          <w:szCs w:val="20"/>
        </w:rPr>
        <w:t>I (Africa)</w:t>
      </w:r>
    </w:p>
    <w:p w:rsidR="008C3DB0" w:rsidRDefault="008C3DB0" w:rsidP="003C5A1F">
      <w:pPr>
        <w:pStyle w:val="ListParagraph"/>
        <w:ind w:left="0"/>
        <w:jc w:val="both"/>
        <w:rPr>
          <w:rFonts w:ascii="Verdana" w:hAnsi="Verdana"/>
          <w:b/>
          <w:i/>
          <w:iCs/>
          <w:sz w:val="20"/>
          <w:szCs w:val="20"/>
        </w:rPr>
      </w:pPr>
    </w:p>
    <w:p w:rsidR="00A92952" w:rsidRPr="00B04847" w:rsidRDefault="00B04847" w:rsidP="00B04847">
      <w:pPr>
        <w:pStyle w:val="ListParagraph"/>
        <w:numPr>
          <w:ilvl w:val="1"/>
          <w:numId w:val="7"/>
        </w:numPr>
        <w:tabs>
          <w:tab w:val="left" w:pos="709"/>
        </w:tabs>
        <w:ind w:left="0" w:firstLine="0"/>
        <w:jc w:val="both"/>
        <w:rPr>
          <w:rFonts w:ascii="Verdana" w:eastAsiaTheme="minorEastAsia" w:hAnsi="Verdana" w:cstheme="minorBidi"/>
          <w:sz w:val="20"/>
          <w:szCs w:val="22"/>
        </w:rPr>
      </w:pPr>
      <w:r>
        <w:rPr>
          <w:rFonts w:ascii="Verdana" w:hAnsi="Verdana"/>
          <w:bCs/>
          <w:sz w:val="20"/>
          <w:szCs w:val="20"/>
        </w:rPr>
        <w:tab/>
      </w:r>
      <w:r w:rsidR="00A92952" w:rsidRPr="00B04847">
        <w:rPr>
          <w:rFonts w:ascii="Verdana" w:hAnsi="Verdana"/>
          <w:bCs/>
          <w:sz w:val="20"/>
          <w:szCs w:val="20"/>
        </w:rPr>
        <w:t xml:space="preserve">The MG was informed that, as part of a Weather and climate Information </w:t>
      </w:r>
      <w:proofErr w:type="spellStart"/>
      <w:r w:rsidR="00A92952" w:rsidRPr="00B04847">
        <w:rPr>
          <w:rFonts w:ascii="Verdana" w:hAnsi="Verdana"/>
          <w:bCs/>
          <w:sz w:val="20"/>
          <w:szCs w:val="20"/>
        </w:rPr>
        <w:t>SERvices</w:t>
      </w:r>
      <w:proofErr w:type="spellEnd"/>
      <w:r w:rsidR="00A92952" w:rsidRPr="00B04847">
        <w:rPr>
          <w:rFonts w:ascii="Verdana" w:hAnsi="Verdana"/>
          <w:bCs/>
          <w:sz w:val="20"/>
          <w:szCs w:val="20"/>
        </w:rPr>
        <w:t xml:space="preserve"> for Africa (WISER) Programme of the United Kingdom, WMO had recently submitted a bid to support the conducting of a project in RA I on QMS and related activities in the aviation meteorology sector of East Africa. The aim of the project was to </w:t>
      </w:r>
      <w:r w:rsidR="00A92952" w:rsidRPr="00B04847">
        <w:rPr>
          <w:rFonts w:ascii="Verdana" w:eastAsiaTheme="minorEastAsia" w:hAnsi="Verdana" w:cstheme="minorBidi"/>
          <w:sz w:val="20"/>
          <w:szCs w:val="22"/>
        </w:rPr>
        <w:t>contribute to the safety and protection of the livelihoods and property of the people of East Africa, and to maintaining the standards, regularity and efficiency of international civil aviation, by providing capacity development support to beneficiary institutions</w:t>
      </w:r>
      <w:r w:rsidR="00A92952">
        <w:rPr>
          <w:rStyle w:val="FootnoteReference"/>
          <w:rFonts w:ascii="Verdana" w:eastAsiaTheme="minorEastAsia" w:hAnsi="Verdana" w:cstheme="minorBidi"/>
          <w:sz w:val="20"/>
          <w:szCs w:val="22"/>
        </w:rPr>
        <w:footnoteReference w:id="1"/>
      </w:r>
      <w:r w:rsidR="00A92952" w:rsidRPr="00B04847">
        <w:rPr>
          <w:rFonts w:ascii="Verdana" w:eastAsiaTheme="minorEastAsia" w:hAnsi="Verdana" w:cstheme="minorBidi"/>
          <w:sz w:val="20"/>
          <w:szCs w:val="22"/>
        </w:rPr>
        <w:t xml:space="preserve">, enabling compliance with international regulations for QMS, competency assessment and cost recovery. The MG noted that, if approved, the two-year project was expected to commence before the end of 2016 and that it would be supported by Tanzania Meteorological Agency and Kenya Meteorological Department (serving as resource institutions) as well as the WMO Secretariat. </w:t>
      </w:r>
    </w:p>
    <w:p w:rsidR="009C73D2" w:rsidRDefault="009C73D2" w:rsidP="00B04847">
      <w:pPr>
        <w:pStyle w:val="ListParagraph"/>
        <w:tabs>
          <w:tab w:val="left" w:pos="709"/>
        </w:tabs>
        <w:ind w:left="0"/>
        <w:jc w:val="both"/>
        <w:rPr>
          <w:rFonts w:ascii="Verdana" w:eastAsiaTheme="minorEastAsia" w:hAnsi="Verdana" w:cstheme="minorBidi"/>
          <w:sz w:val="20"/>
          <w:szCs w:val="22"/>
        </w:rPr>
      </w:pPr>
    </w:p>
    <w:p w:rsidR="009C73D2" w:rsidRPr="00B04847" w:rsidRDefault="00B04847" w:rsidP="00B04847">
      <w:pPr>
        <w:pStyle w:val="ListParagraph"/>
        <w:numPr>
          <w:ilvl w:val="1"/>
          <w:numId w:val="7"/>
        </w:numPr>
        <w:tabs>
          <w:tab w:val="left" w:pos="709"/>
        </w:tabs>
        <w:ind w:left="0" w:firstLine="0"/>
        <w:jc w:val="both"/>
        <w:rPr>
          <w:rFonts w:ascii="Verdana" w:eastAsiaTheme="minorEastAsia" w:hAnsi="Verdana" w:cstheme="minorBidi"/>
          <w:sz w:val="20"/>
          <w:szCs w:val="22"/>
        </w:rPr>
      </w:pPr>
      <w:r>
        <w:rPr>
          <w:rFonts w:ascii="Verdana" w:eastAsiaTheme="minorEastAsia" w:hAnsi="Verdana" w:cstheme="minorBidi"/>
          <w:sz w:val="20"/>
          <w:szCs w:val="22"/>
        </w:rPr>
        <w:tab/>
      </w:r>
      <w:r w:rsidR="00DD6673" w:rsidRPr="00B04847">
        <w:rPr>
          <w:rFonts w:ascii="Verdana" w:eastAsiaTheme="minorEastAsia" w:hAnsi="Verdana" w:cstheme="minorBidi"/>
          <w:sz w:val="20"/>
          <w:szCs w:val="22"/>
        </w:rPr>
        <w:t>As part of the efforts aimed at resolving deficiencies and building national capacity for requisite aeronautical meteorological services, the AEM Division supported missions to Democratic Republic of Congo (April 2016) and Guinea (November 2016). The DR Congo mission was in conjunction with a World Bank (WB) assessment that would serve as the basis for a WB funded project (approximately USD 4 million). It was proposed that the project should include an aviation MET component.</w:t>
      </w:r>
    </w:p>
    <w:p w:rsidR="00A92952" w:rsidRDefault="00A92952" w:rsidP="00A92952">
      <w:pPr>
        <w:jc w:val="both"/>
        <w:rPr>
          <w:rFonts w:ascii="Verdana" w:eastAsiaTheme="minorEastAsia" w:hAnsi="Verdana" w:cstheme="minorBidi"/>
          <w:sz w:val="20"/>
          <w:szCs w:val="22"/>
        </w:rPr>
      </w:pPr>
    </w:p>
    <w:p w:rsidR="00A92952" w:rsidRPr="00A92952" w:rsidRDefault="00A92952" w:rsidP="00A92952">
      <w:pPr>
        <w:jc w:val="both"/>
        <w:rPr>
          <w:rFonts w:ascii="Verdana" w:eastAsiaTheme="minorEastAsia" w:hAnsi="Verdana" w:cstheme="minorBidi"/>
          <w:b/>
          <w:bCs/>
          <w:i/>
          <w:iCs/>
          <w:sz w:val="20"/>
          <w:szCs w:val="22"/>
        </w:rPr>
      </w:pPr>
      <w:r w:rsidRPr="00A92952">
        <w:rPr>
          <w:rFonts w:ascii="Verdana" w:eastAsiaTheme="minorEastAsia" w:hAnsi="Verdana" w:cstheme="minorBidi"/>
          <w:b/>
          <w:bCs/>
          <w:i/>
          <w:iCs/>
          <w:sz w:val="20"/>
          <w:szCs w:val="22"/>
        </w:rPr>
        <w:t xml:space="preserve">RA </w:t>
      </w:r>
      <w:r>
        <w:rPr>
          <w:rFonts w:ascii="Verdana" w:eastAsiaTheme="minorEastAsia" w:hAnsi="Verdana" w:cstheme="minorBidi"/>
          <w:b/>
          <w:bCs/>
          <w:i/>
          <w:iCs/>
          <w:sz w:val="20"/>
          <w:szCs w:val="22"/>
        </w:rPr>
        <w:t>II (Asia)</w:t>
      </w:r>
    </w:p>
    <w:p w:rsidR="00A92952" w:rsidRPr="00A92952" w:rsidRDefault="00A92952" w:rsidP="00A92952">
      <w:pPr>
        <w:jc w:val="both"/>
        <w:rPr>
          <w:rFonts w:ascii="Verdana" w:eastAsiaTheme="minorEastAsia" w:hAnsi="Verdana" w:cstheme="minorBidi"/>
          <w:sz w:val="20"/>
          <w:szCs w:val="22"/>
        </w:rPr>
      </w:pPr>
    </w:p>
    <w:p w:rsidR="00A92952" w:rsidRDefault="00DD6673" w:rsidP="00B04847">
      <w:pPr>
        <w:pStyle w:val="ListParagraph"/>
        <w:numPr>
          <w:ilvl w:val="1"/>
          <w:numId w:val="7"/>
        </w:numPr>
        <w:ind w:left="0" w:firstLine="0"/>
        <w:jc w:val="both"/>
        <w:rPr>
          <w:rFonts w:ascii="Verdana" w:hAnsi="Verdana"/>
          <w:bCs/>
          <w:sz w:val="20"/>
          <w:szCs w:val="20"/>
        </w:rPr>
      </w:pPr>
      <w:r>
        <w:rPr>
          <w:rFonts w:ascii="Verdana" w:hAnsi="Verdana"/>
          <w:bCs/>
          <w:sz w:val="20"/>
          <w:szCs w:val="20"/>
        </w:rPr>
        <w:t xml:space="preserve">A partnership with </w:t>
      </w:r>
      <w:proofErr w:type="spellStart"/>
      <w:r>
        <w:rPr>
          <w:rFonts w:ascii="Verdana" w:hAnsi="Verdana"/>
          <w:bCs/>
          <w:sz w:val="20"/>
          <w:szCs w:val="20"/>
        </w:rPr>
        <w:t>M</w:t>
      </w:r>
      <w:r w:rsidR="00B04847">
        <w:rPr>
          <w:rFonts w:ascii="Verdana" w:hAnsi="Verdana"/>
          <w:bCs/>
          <w:sz w:val="20"/>
          <w:szCs w:val="20"/>
        </w:rPr>
        <w:t>é</w:t>
      </w:r>
      <w:r>
        <w:rPr>
          <w:rFonts w:ascii="Verdana" w:hAnsi="Verdana"/>
          <w:bCs/>
          <w:sz w:val="20"/>
          <w:szCs w:val="20"/>
        </w:rPr>
        <w:t>t</w:t>
      </w:r>
      <w:r w:rsidR="00B04847">
        <w:rPr>
          <w:rFonts w:ascii="Verdana" w:hAnsi="Verdana"/>
          <w:bCs/>
          <w:sz w:val="20"/>
          <w:szCs w:val="20"/>
        </w:rPr>
        <w:t>é</w:t>
      </w:r>
      <w:r>
        <w:rPr>
          <w:rFonts w:ascii="Verdana" w:hAnsi="Verdana"/>
          <w:bCs/>
          <w:sz w:val="20"/>
          <w:szCs w:val="20"/>
        </w:rPr>
        <w:t>o</w:t>
      </w:r>
      <w:proofErr w:type="spellEnd"/>
      <w:r>
        <w:rPr>
          <w:rFonts w:ascii="Verdana" w:hAnsi="Verdana"/>
          <w:bCs/>
          <w:sz w:val="20"/>
          <w:szCs w:val="20"/>
        </w:rPr>
        <w:t xml:space="preserve">-Suisse has been established aimed at assisting Bhutan through delivery of </w:t>
      </w:r>
      <w:r w:rsidR="00F70E40">
        <w:rPr>
          <w:rFonts w:ascii="Verdana" w:hAnsi="Verdana"/>
          <w:bCs/>
          <w:sz w:val="20"/>
          <w:szCs w:val="20"/>
        </w:rPr>
        <w:t xml:space="preserve">used </w:t>
      </w:r>
      <w:r>
        <w:rPr>
          <w:rFonts w:ascii="Verdana" w:hAnsi="Verdana"/>
          <w:bCs/>
          <w:sz w:val="20"/>
          <w:szCs w:val="20"/>
        </w:rPr>
        <w:t xml:space="preserve">equipment (ceilometers for Paro </w:t>
      </w:r>
      <w:r w:rsidR="00F70E40">
        <w:rPr>
          <w:rFonts w:ascii="Verdana" w:hAnsi="Verdana"/>
          <w:bCs/>
          <w:sz w:val="20"/>
          <w:szCs w:val="20"/>
        </w:rPr>
        <w:t xml:space="preserve">Intl </w:t>
      </w:r>
      <w:r>
        <w:rPr>
          <w:rFonts w:ascii="Verdana" w:hAnsi="Verdana"/>
          <w:bCs/>
          <w:sz w:val="20"/>
          <w:szCs w:val="20"/>
        </w:rPr>
        <w:t>A</w:t>
      </w:r>
      <w:r w:rsidR="00F70E40">
        <w:rPr>
          <w:rFonts w:ascii="Verdana" w:hAnsi="Verdana"/>
          <w:bCs/>
          <w:sz w:val="20"/>
          <w:szCs w:val="20"/>
        </w:rPr>
        <w:t>irport</w:t>
      </w:r>
      <w:r>
        <w:rPr>
          <w:rFonts w:ascii="Verdana" w:hAnsi="Verdana"/>
          <w:bCs/>
          <w:sz w:val="20"/>
          <w:szCs w:val="20"/>
        </w:rPr>
        <w:t>)</w:t>
      </w:r>
      <w:r w:rsidR="00F70E40">
        <w:rPr>
          <w:rFonts w:ascii="Verdana" w:hAnsi="Verdana"/>
          <w:bCs/>
          <w:sz w:val="20"/>
          <w:szCs w:val="20"/>
        </w:rPr>
        <w:t>. The donor (</w:t>
      </w:r>
      <w:proofErr w:type="spellStart"/>
      <w:r w:rsidR="00F70E40">
        <w:rPr>
          <w:rFonts w:ascii="Verdana" w:hAnsi="Verdana"/>
          <w:bCs/>
          <w:sz w:val="20"/>
          <w:szCs w:val="20"/>
        </w:rPr>
        <w:t>M</w:t>
      </w:r>
      <w:r w:rsidR="00B04847">
        <w:rPr>
          <w:rFonts w:ascii="Verdana" w:hAnsi="Verdana"/>
          <w:bCs/>
          <w:sz w:val="20"/>
          <w:szCs w:val="20"/>
        </w:rPr>
        <w:t>é</w:t>
      </w:r>
      <w:r w:rsidR="00F70E40">
        <w:rPr>
          <w:rFonts w:ascii="Verdana" w:hAnsi="Verdana"/>
          <w:bCs/>
          <w:sz w:val="20"/>
          <w:szCs w:val="20"/>
        </w:rPr>
        <w:t>t</w:t>
      </w:r>
      <w:r w:rsidR="00B04847">
        <w:rPr>
          <w:rFonts w:ascii="Verdana" w:hAnsi="Verdana"/>
          <w:bCs/>
          <w:sz w:val="20"/>
          <w:szCs w:val="20"/>
        </w:rPr>
        <w:t>é</w:t>
      </w:r>
      <w:r w:rsidR="00F70E40">
        <w:rPr>
          <w:rFonts w:ascii="Verdana" w:hAnsi="Verdana"/>
          <w:bCs/>
          <w:sz w:val="20"/>
          <w:szCs w:val="20"/>
        </w:rPr>
        <w:t>o</w:t>
      </w:r>
      <w:proofErr w:type="spellEnd"/>
      <w:r w:rsidR="00F70E40">
        <w:rPr>
          <w:rFonts w:ascii="Verdana" w:hAnsi="Verdana"/>
          <w:bCs/>
          <w:sz w:val="20"/>
          <w:szCs w:val="20"/>
        </w:rPr>
        <w:t xml:space="preserve">-Suisse) would guarantee that the equipment has been fully serviced and with sufficient resource to serve the new location. Arrangements for shipment and installation are being negotiated between WMO and </w:t>
      </w:r>
      <w:proofErr w:type="spellStart"/>
      <w:r w:rsidR="00F70E40">
        <w:rPr>
          <w:rFonts w:ascii="Verdana" w:hAnsi="Verdana"/>
          <w:bCs/>
          <w:sz w:val="20"/>
          <w:szCs w:val="20"/>
        </w:rPr>
        <w:t>M</w:t>
      </w:r>
      <w:r w:rsidR="00B04847">
        <w:rPr>
          <w:rFonts w:ascii="Verdana" w:hAnsi="Verdana"/>
          <w:bCs/>
          <w:sz w:val="20"/>
          <w:szCs w:val="20"/>
        </w:rPr>
        <w:t>é</w:t>
      </w:r>
      <w:r w:rsidR="00F70E40">
        <w:rPr>
          <w:rFonts w:ascii="Verdana" w:hAnsi="Verdana"/>
          <w:bCs/>
          <w:sz w:val="20"/>
          <w:szCs w:val="20"/>
        </w:rPr>
        <w:t>t</w:t>
      </w:r>
      <w:r w:rsidR="00B04847">
        <w:rPr>
          <w:rFonts w:ascii="Verdana" w:hAnsi="Verdana"/>
          <w:bCs/>
          <w:sz w:val="20"/>
          <w:szCs w:val="20"/>
        </w:rPr>
        <w:t>é</w:t>
      </w:r>
      <w:r w:rsidR="00F70E40">
        <w:rPr>
          <w:rFonts w:ascii="Verdana" w:hAnsi="Verdana"/>
          <w:bCs/>
          <w:sz w:val="20"/>
          <w:szCs w:val="20"/>
        </w:rPr>
        <w:t>o</w:t>
      </w:r>
      <w:proofErr w:type="spellEnd"/>
      <w:r w:rsidR="00F70E40">
        <w:rPr>
          <w:rFonts w:ascii="Verdana" w:hAnsi="Verdana"/>
          <w:bCs/>
          <w:sz w:val="20"/>
          <w:szCs w:val="20"/>
        </w:rPr>
        <w:t xml:space="preserve">-Suisse. </w:t>
      </w:r>
    </w:p>
    <w:p w:rsidR="00A92952" w:rsidRDefault="00A92952" w:rsidP="00A92952">
      <w:pPr>
        <w:pStyle w:val="ListParagraph"/>
        <w:ind w:left="0"/>
        <w:jc w:val="both"/>
        <w:rPr>
          <w:rFonts w:ascii="Verdana" w:hAnsi="Verdana"/>
          <w:bCs/>
          <w:sz w:val="20"/>
          <w:szCs w:val="20"/>
        </w:rPr>
      </w:pPr>
    </w:p>
    <w:p w:rsidR="00A92952" w:rsidRDefault="00F70E40" w:rsidP="00B04847">
      <w:pPr>
        <w:pStyle w:val="ListParagraph"/>
        <w:numPr>
          <w:ilvl w:val="1"/>
          <w:numId w:val="7"/>
        </w:numPr>
        <w:ind w:left="0" w:firstLine="0"/>
        <w:jc w:val="both"/>
        <w:rPr>
          <w:rFonts w:ascii="Verdana" w:hAnsi="Verdana"/>
          <w:bCs/>
          <w:sz w:val="20"/>
          <w:szCs w:val="20"/>
        </w:rPr>
      </w:pPr>
      <w:r>
        <w:rPr>
          <w:rFonts w:ascii="Verdana" w:hAnsi="Verdana"/>
          <w:bCs/>
          <w:sz w:val="20"/>
          <w:szCs w:val="20"/>
        </w:rPr>
        <w:t>Initial steps have been undertaken for an action targeting SE Asian countries lagging behind with the implementation of QMS, competency and qualification requirements. Inputs have been provided to the WB team working on a large-scale modernization project for Myanmar</w:t>
      </w:r>
      <w:r w:rsidR="00726238">
        <w:rPr>
          <w:rFonts w:ascii="Verdana" w:hAnsi="Verdana"/>
          <w:bCs/>
          <w:sz w:val="20"/>
          <w:szCs w:val="20"/>
        </w:rPr>
        <w:t xml:space="preserve"> highlighting the need of</w:t>
      </w:r>
      <w:r>
        <w:rPr>
          <w:rFonts w:ascii="Verdana" w:hAnsi="Verdana"/>
          <w:bCs/>
          <w:sz w:val="20"/>
          <w:szCs w:val="20"/>
        </w:rPr>
        <w:t xml:space="preserve"> an aviation component</w:t>
      </w:r>
      <w:r w:rsidR="00726238">
        <w:rPr>
          <w:rFonts w:ascii="Verdana" w:hAnsi="Verdana"/>
          <w:bCs/>
          <w:sz w:val="20"/>
          <w:szCs w:val="20"/>
        </w:rPr>
        <w:t xml:space="preserve"> in this project</w:t>
      </w:r>
      <w:r>
        <w:rPr>
          <w:rFonts w:ascii="Verdana" w:hAnsi="Verdana"/>
          <w:bCs/>
          <w:sz w:val="20"/>
          <w:szCs w:val="20"/>
        </w:rPr>
        <w:t xml:space="preserve">. </w:t>
      </w:r>
    </w:p>
    <w:p w:rsidR="00A92952" w:rsidRDefault="00A92952" w:rsidP="00A92952">
      <w:pPr>
        <w:jc w:val="both"/>
        <w:rPr>
          <w:rFonts w:ascii="Verdana" w:hAnsi="Verdana"/>
          <w:bCs/>
          <w:sz w:val="20"/>
          <w:szCs w:val="20"/>
        </w:rPr>
      </w:pPr>
    </w:p>
    <w:p w:rsidR="00A92952" w:rsidRPr="00A92952" w:rsidRDefault="00A92952" w:rsidP="00A92952">
      <w:pPr>
        <w:jc w:val="both"/>
        <w:rPr>
          <w:rFonts w:ascii="Verdana" w:eastAsiaTheme="minorEastAsia" w:hAnsi="Verdana" w:cstheme="minorBidi"/>
          <w:b/>
          <w:bCs/>
          <w:i/>
          <w:iCs/>
          <w:sz w:val="20"/>
          <w:szCs w:val="22"/>
        </w:rPr>
      </w:pPr>
      <w:r w:rsidRPr="00A92952">
        <w:rPr>
          <w:rFonts w:ascii="Verdana" w:eastAsiaTheme="minorEastAsia" w:hAnsi="Verdana" w:cstheme="minorBidi"/>
          <w:b/>
          <w:bCs/>
          <w:i/>
          <w:iCs/>
          <w:sz w:val="20"/>
          <w:szCs w:val="22"/>
        </w:rPr>
        <w:t xml:space="preserve">RA </w:t>
      </w:r>
      <w:r>
        <w:rPr>
          <w:rFonts w:ascii="Verdana" w:eastAsiaTheme="minorEastAsia" w:hAnsi="Verdana" w:cstheme="minorBidi"/>
          <w:b/>
          <w:bCs/>
          <w:i/>
          <w:iCs/>
          <w:sz w:val="20"/>
          <w:szCs w:val="22"/>
        </w:rPr>
        <w:t>III (South America)</w:t>
      </w:r>
    </w:p>
    <w:p w:rsidR="00A92952" w:rsidRDefault="00A92952" w:rsidP="00A92952">
      <w:pPr>
        <w:jc w:val="both"/>
        <w:rPr>
          <w:rFonts w:ascii="Verdana" w:eastAsiaTheme="minorEastAsia" w:hAnsi="Verdana" w:cstheme="minorBidi"/>
          <w:sz w:val="20"/>
          <w:szCs w:val="22"/>
        </w:rPr>
      </w:pPr>
    </w:p>
    <w:p w:rsidR="00241823" w:rsidRPr="00241823" w:rsidRDefault="00241823" w:rsidP="00B04847">
      <w:pPr>
        <w:pStyle w:val="ListParagraph"/>
        <w:numPr>
          <w:ilvl w:val="1"/>
          <w:numId w:val="7"/>
        </w:numPr>
        <w:ind w:left="709" w:hanging="709"/>
        <w:jc w:val="both"/>
        <w:rPr>
          <w:rFonts w:ascii="Verdana" w:eastAsiaTheme="minorEastAsia" w:hAnsi="Verdana" w:cstheme="minorBidi"/>
          <w:sz w:val="20"/>
          <w:szCs w:val="22"/>
        </w:rPr>
      </w:pPr>
      <w:r>
        <w:rPr>
          <w:rFonts w:ascii="Verdana" w:eastAsiaTheme="minorEastAsia" w:hAnsi="Verdana" w:cstheme="minorBidi"/>
          <w:sz w:val="20"/>
          <w:szCs w:val="22"/>
        </w:rPr>
        <w:t>No specific activities to report.</w:t>
      </w:r>
    </w:p>
    <w:p w:rsidR="00A92952" w:rsidRDefault="00A92952" w:rsidP="00A92952">
      <w:pPr>
        <w:jc w:val="both"/>
        <w:rPr>
          <w:rFonts w:ascii="Verdana" w:eastAsiaTheme="minorEastAsia" w:hAnsi="Verdana" w:cstheme="minorBidi"/>
          <w:sz w:val="20"/>
          <w:szCs w:val="22"/>
        </w:rPr>
      </w:pPr>
    </w:p>
    <w:p w:rsidR="00A92952" w:rsidRPr="00A92952" w:rsidRDefault="00A92952" w:rsidP="00A92952">
      <w:pPr>
        <w:jc w:val="both"/>
        <w:rPr>
          <w:rFonts w:ascii="Verdana" w:eastAsiaTheme="minorEastAsia" w:hAnsi="Verdana" w:cstheme="minorBidi"/>
          <w:b/>
          <w:bCs/>
          <w:i/>
          <w:iCs/>
          <w:sz w:val="20"/>
          <w:szCs w:val="22"/>
        </w:rPr>
      </w:pPr>
      <w:r w:rsidRPr="00A92952">
        <w:rPr>
          <w:rFonts w:ascii="Verdana" w:eastAsiaTheme="minorEastAsia" w:hAnsi="Verdana" w:cstheme="minorBidi"/>
          <w:b/>
          <w:bCs/>
          <w:i/>
          <w:iCs/>
          <w:sz w:val="20"/>
          <w:szCs w:val="22"/>
        </w:rPr>
        <w:t xml:space="preserve">RA </w:t>
      </w:r>
      <w:r>
        <w:rPr>
          <w:rFonts w:ascii="Verdana" w:eastAsiaTheme="minorEastAsia" w:hAnsi="Verdana" w:cstheme="minorBidi"/>
          <w:b/>
          <w:bCs/>
          <w:i/>
          <w:iCs/>
          <w:sz w:val="20"/>
          <w:szCs w:val="22"/>
        </w:rPr>
        <w:t>IV (North America, Central America and the Caribbean)</w:t>
      </w:r>
    </w:p>
    <w:p w:rsidR="00A92952" w:rsidRPr="00A92952" w:rsidRDefault="00A92952" w:rsidP="00A92952">
      <w:pPr>
        <w:jc w:val="both"/>
        <w:rPr>
          <w:rFonts w:ascii="Verdana" w:eastAsiaTheme="minorEastAsia" w:hAnsi="Verdana" w:cstheme="minorBidi"/>
          <w:sz w:val="20"/>
          <w:szCs w:val="22"/>
        </w:rPr>
      </w:pPr>
    </w:p>
    <w:p w:rsidR="00A92952" w:rsidRDefault="00241823" w:rsidP="00B04847">
      <w:pPr>
        <w:pStyle w:val="ListParagraph"/>
        <w:numPr>
          <w:ilvl w:val="1"/>
          <w:numId w:val="7"/>
        </w:numPr>
        <w:ind w:left="0" w:firstLine="0"/>
        <w:jc w:val="both"/>
        <w:rPr>
          <w:rFonts w:ascii="Verdana" w:hAnsi="Verdana"/>
          <w:bCs/>
          <w:sz w:val="20"/>
          <w:szCs w:val="20"/>
        </w:rPr>
      </w:pPr>
      <w:r>
        <w:rPr>
          <w:rFonts w:ascii="Verdana" w:hAnsi="Verdana"/>
          <w:bCs/>
          <w:sz w:val="20"/>
          <w:szCs w:val="20"/>
        </w:rPr>
        <w:t xml:space="preserve">A </w:t>
      </w:r>
      <w:r w:rsidRPr="00241823">
        <w:rPr>
          <w:rFonts w:ascii="Verdana" w:hAnsi="Verdana"/>
          <w:bCs/>
          <w:sz w:val="20"/>
          <w:szCs w:val="20"/>
        </w:rPr>
        <w:t xml:space="preserve">WMO RA IV Workshop </w:t>
      </w:r>
      <w:r>
        <w:rPr>
          <w:rFonts w:ascii="Verdana" w:hAnsi="Verdana"/>
          <w:bCs/>
          <w:sz w:val="20"/>
          <w:szCs w:val="20"/>
        </w:rPr>
        <w:t>wa</w:t>
      </w:r>
      <w:r w:rsidRPr="00241823">
        <w:rPr>
          <w:rFonts w:ascii="Verdana" w:hAnsi="Verdana"/>
          <w:bCs/>
          <w:sz w:val="20"/>
          <w:szCs w:val="20"/>
        </w:rPr>
        <w:t xml:space="preserve">s organized </w:t>
      </w:r>
      <w:r>
        <w:rPr>
          <w:rFonts w:ascii="Verdana" w:hAnsi="Verdana"/>
          <w:bCs/>
          <w:sz w:val="20"/>
          <w:szCs w:val="20"/>
        </w:rPr>
        <w:t>by the</w:t>
      </w:r>
      <w:r w:rsidRPr="00241823">
        <w:rPr>
          <w:rFonts w:ascii="Verdana" w:hAnsi="Verdana"/>
          <w:bCs/>
          <w:sz w:val="20"/>
          <w:szCs w:val="20"/>
        </w:rPr>
        <w:t xml:space="preserve"> RA IV Task Force on SIGMET and Competency of Aeronautical Meteorological Personnel, with support from the WMO Office in Costa Rica and the </w:t>
      </w:r>
      <w:r>
        <w:rPr>
          <w:rFonts w:ascii="Verdana" w:hAnsi="Verdana"/>
          <w:bCs/>
          <w:sz w:val="20"/>
          <w:szCs w:val="20"/>
        </w:rPr>
        <w:t>AEM Division (25-27 August 2015)</w:t>
      </w:r>
      <w:r w:rsidRPr="00241823">
        <w:rPr>
          <w:rFonts w:ascii="Verdana" w:hAnsi="Verdana"/>
          <w:bCs/>
          <w:sz w:val="20"/>
          <w:szCs w:val="20"/>
        </w:rPr>
        <w:t xml:space="preserve">. The objective of the Workshop is to assist RA IV Members to improve their SIGMET </w:t>
      </w:r>
      <w:r>
        <w:rPr>
          <w:rFonts w:ascii="Verdana" w:hAnsi="Verdana"/>
          <w:bCs/>
          <w:sz w:val="20"/>
          <w:szCs w:val="20"/>
        </w:rPr>
        <w:t>practices and resolve related de</w:t>
      </w:r>
      <w:r w:rsidRPr="00241823">
        <w:rPr>
          <w:rFonts w:ascii="Verdana" w:hAnsi="Verdana"/>
          <w:bCs/>
          <w:sz w:val="20"/>
          <w:szCs w:val="20"/>
        </w:rPr>
        <w:t>ficiencies, and to progress the competency assessment of the aeronautical meteorological forecasters.</w:t>
      </w:r>
    </w:p>
    <w:p w:rsidR="00A92952" w:rsidRDefault="00A92952" w:rsidP="00A92952">
      <w:pPr>
        <w:pStyle w:val="ListParagraph"/>
        <w:ind w:left="0"/>
        <w:jc w:val="both"/>
        <w:rPr>
          <w:rFonts w:ascii="Verdana" w:hAnsi="Verdana"/>
          <w:bCs/>
          <w:sz w:val="20"/>
          <w:szCs w:val="20"/>
        </w:rPr>
      </w:pPr>
    </w:p>
    <w:p w:rsidR="00B04847" w:rsidRPr="00A92952" w:rsidRDefault="00B04847" w:rsidP="00A92952">
      <w:pPr>
        <w:pStyle w:val="ListParagraph"/>
        <w:ind w:left="0"/>
        <w:jc w:val="both"/>
        <w:rPr>
          <w:rFonts w:ascii="Verdana" w:hAnsi="Verdana"/>
          <w:bCs/>
          <w:sz w:val="20"/>
          <w:szCs w:val="20"/>
        </w:rPr>
      </w:pPr>
    </w:p>
    <w:p w:rsidR="00A92952" w:rsidRPr="00A92952" w:rsidRDefault="00A92952" w:rsidP="00A92952">
      <w:pPr>
        <w:jc w:val="both"/>
        <w:rPr>
          <w:rFonts w:ascii="Verdana" w:eastAsiaTheme="minorEastAsia" w:hAnsi="Verdana" w:cstheme="minorBidi"/>
          <w:b/>
          <w:bCs/>
          <w:i/>
          <w:iCs/>
          <w:sz w:val="20"/>
          <w:szCs w:val="22"/>
        </w:rPr>
      </w:pPr>
      <w:r w:rsidRPr="00A92952">
        <w:rPr>
          <w:rFonts w:ascii="Verdana" w:eastAsiaTheme="minorEastAsia" w:hAnsi="Verdana" w:cstheme="minorBidi"/>
          <w:b/>
          <w:bCs/>
          <w:i/>
          <w:iCs/>
          <w:sz w:val="20"/>
          <w:szCs w:val="22"/>
        </w:rPr>
        <w:lastRenderedPageBreak/>
        <w:t>RA V</w:t>
      </w:r>
      <w:r>
        <w:rPr>
          <w:rFonts w:ascii="Verdana" w:eastAsiaTheme="minorEastAsia" w:hAnsi="Verdana" w:cstheme="minorBidi"/>
          <w:b/>
          <w:bCs/>
          <w:i/>
          <w:iCs/>
          <w:sz w:val="20"/>
          <w:szCs w:val="22"/>
        </w:rPr>
        <w:t xml:space="preserve"> (South-West Pacific)</w:t>
      </w:r>
    </w:p>
    <w:p w:rsidR="00A92952" w:rsidRPr="00A92952" w:rsidRDefault="00A92952" w:rsidP="00A92952">
      <w:pPr>
        <w:jc w:val="both"/>
        <w:rPr>
          <w:rFonts w:ascii="Verdana" w:eastAsiaTheme="minorEastAsia" w:hAnsi="Verdana" w:cstheme="minorBidi"/>
          <w:sz w:val="20"/>
          <w:szCs w:val="22"/>
        </w:rPr>
      </w:pPr>
    </w:p>
    <w:p w:rsidR="003C5A1F" w:rsidRDefault="003C5A1F" w:rsidP="00B04847">
      <w:pPr>
        <w:pStyle w:val="ListParagraph"/>
        <w:numPr>
          <w:ilvl w:val="1"/>
          <w:numId w:val="7"/>
        </w:numPr>
        <w:ind w:left="0" w:firstLine="0"/>
        <w:jc w:val="both"/>
        <w:rPr>
          <w:rFonts w:ascii="Verdana" w:hAnsi="Verdana"/>
          <w:bCs/>
          <w:sz w:val="20"/>
          <w:szCs w:val="20"/>
        </w:rPr>
      </w:pPr>
      <w:r>
        <w:rPr>
          <w:rFonts w:ascii="Verdana" w:hAnsi="Verdana"/>
          <w:bCs/>
          <w:sz w:val="20"/>
          <w:szCs w:val="20"/>
        </w:rPr>
        <w:t>The MG noted that the operational phase of a Pilot Project on SIGMET Coordination (SIG-Coord) was currently underway in RA V involving Indonesia (BMKG), Malaysia (</w:t>
      </w:r>
      <w:proofErr w:type="spellStart"/>
      <w:r>
        <w:rPr>
          <w:rFonts w:ascii="Verdana" w:hAnsi="Verdana"/>
          <w:bCs/>
          <w:sz w:val="20"/>
          <w:szCs w:val="20"/>
        </w:rPr>
        <w:t>MetMalaysia</w:t>
      </w:r>
      <w:proofErr w:type="spellEnd"/>
      <w:r>
        <w:rPr>
          <w:rFonts w:ascii="Verdana" w:hAnsi="Verdana"/>
          <w:bCs/>
          <w:sz w:val="20"/>
          <w:szCs w:val="20"/>
        </w:rPr>
        <w:t xml:space="preserve">) and Singapore (MSS) with the assistance of Hong Kong, China (HKO), Japan (JMA) and the WMO Secretariat. The MG was informed that the Meteorological Watch Offices (MWO) of Indonesia, Malaysia and Singapore were conducting cross-border coordination via teleconference and web-based chatrooms whenever observed or forecast meteorological phenomenon for which SIGMET are warranted were expected to transition from one flight information region (FIR) to an adjacent FIR of a neighbouring country. The MG further noted that the operational phase of SIG-Coord was expected to last five months (until March 2017) after which a review and evaluation would be conducted in order to determine the feasibility and suitability to introduce SIGMET coordination permanently amongst the MWOs concerned. The MG expressed its appreciation to HKO and JMA for making online tools and guidance available to assist the MWOs in their preparation of SIGMET. The MG considered that, subject to the outcomes of SIG-Coord, the pilot project could serve as model to be applied elsewhere in RA V as well as in other WMO Regions. </w:t>
      </w:r>
    </w:p>
    <w:p w:rsidR="00726238" w:rsidRDefault="00726238" w:rsidP="00726238">
      <w:pPr>
        <w:jc w:val="both"/>
        <w:rPr>
          <w:rFonts w:ascii="Verdana" w:hAnsi="Verdana"/>
          <w:bCs/>
          <w:sz w:val="20"/>
          <w:szCs w:val="20"/>
        </w:rPr>
      </w:pPr>
    </w:p>
    <w:p w:rsidR="00726238" w:rsidRDefault="00726238" w:rsidP="00B04847">
      <w:pPr>
        <w:pStyle w:val="ListParagraph"/>
        <w:numPr>
          <w:ilvl w:val="1"/>
          <w:numId w:val="7"/>
        </w:numPr>
        <w:ind w:left="0" w:firstLine="0"/>
        <w:jc w:val="both"/>
        <w:rPr>
          <w:rFonts w:ascii="Verdana" w:hAnsi="Verdana"/>
          <w:bCs/>
          <w:sz w:val="20"/>
          <w:szCs w:val="20"/>
        </w:rPr>
      </w:pPr>
      <w:r w:rsidRPr="00726238">
        <w:rPr>
          <w:rFonts w:ascii="Verdana" w:hAnsi="Verdana"/>
          <w:bCs/>
          <w:sz w:val="20"/>
          <w:szCs w:val="20"/>
        </w:rPr>
        <w:t>The Japan Meteorological Agency (JMA) organize</w:t>
      </w:r>
      <w:r>
        <w:rPr>
          <w:rFonts w:ascii="Verdana" w:hAnsi="Verdana"/>
          <w:bCs/>
          <w:sz w:val="20"/>
          <w:szCs w:val="20"/>
        </w:rPr>
        <w:t>d a</w:t>
      </w:r>
      <w:r w:rsidRPr="00726238">
        <w:rPr>
          <w:rFonts w:ascii="Verdana" w:hAnsi="Verdana"/>
          <w:bCs/>
          <w:sz w:val="20"/>
          <w:szCs w:val="20"/>
        </w:rPr>
        <w:t xml:space="preserve"> WMO/JMA SIGMET Workshop, from 27 to 30 June 2016 in Tokyo, Japan.</w:t>
      </w:r>
      <w:r>
        <w:rPr>
          <w:rFonts w:ascii="Verdana" w:hAnsi="Verdana"/>
          <w:bCs/>
          <w:sz w:val="20"/>
          <w:szCs w:val="20"/>
        </w:rPr>
        <w:t xml:space="preserve"> </w:t>
      </w:r>
      <w:r w:rsidRPr="00726238">
        <w:rPr>
          <w:rFonts w:ascii="Verdana" w:hAnsi="Verdana"/>
          <w:bCs/>
          <w:sz w:val="20"/>
          <w:szCs w:val="20"/>
        </w:rPr>
        <w:t xml:space="preserve">This workshop, also coordinated with ICAO, </w:t>
      </w:r>
      <w:r>
        <w:rPr>
          <w:rFonts w:ascii="Verdana" w:hAnsi="Verdana"/>
          <w:bCs/>
          <w:sz w:val="20"/>
          <w:szCs w:val="20"/>
        </w:rPr>
        <w:t>was</w:t>
      </w:r>
      <w:r w:rsidRPr="00726238">
        <w:rPr>
          <w:rFonts w:ascii="Verdana" w:hAnsi="Verdana"/>
          <w:bCs/>
          <w:sz w:val="20"/>
          <w:szCs w:val="20"/>
        </w:rPr>
        <w:t xml:space="preserve"> a contribution to the international effort to improve the provision of aeronautical meteorological service to international air navigation </w:t>
      </w:r>
      <w:r>
        <w:rPr>
          <w:rFonts w:ascii="Verdana" w:hAnsi="Verdana"/>
          <w:bCs/>
          <w:sz w:val="20"/>
          <w:szCs w:val="20"/>
        </w:rPr>
        <w:t>(a</w:t>
      </w:r>
      <w:r w:rsidRPr="00726238">
        <w:rPr>
          <w:rFonts w:ascii="Verdana" w:hAnsi="Verdana"/>
          <w:bCs/>
          <w:sz w:val="20"/>
          <w:szCs w:val="20"/>
        </w:rPr>
        <w:t xml:space="preserve"> WMO priorit</w:t>
      </w:r>
      <w:r>
        <w:rPr>
          <w:rFonts w:ascii="Verdana" w:hAnsi="Verdana"/>
          <w:bCs/>
          <w:sz w:val="20"/>
          <w:szCs w:val="20"/>
        </w:rPr>
        <w:t>y</w:t>
      </w:r>
      <w:r w:rsidRPr="00726238">
        <w:rPr>
          <w:rFonts w:ascii="Verdana" w:hAnsi="Verdana"/>
          <w:bCs/>
          <w:sz w:val="20"/>
          <w:szCs w:val="20"/>
        </w:rPr>
        <w:t xml:space="preserve"> for the current financial period</w:t>
      </w:r>
      <w:r>
        <w:rPr>
          <w:rFonts w:ascii="Verdana" w:hAnsi="Verdana"/>
          <w:bCs/>
          <w:sz w:val="20"/>
          <w:szCs w:val="20"/>
        </w:rPr>
        <w:t>)</w:t>
      </w:r>
      <w:r w:rsidRPr="00726238">
        <w:rPr>
          <w:rFonts w:ascii="Verdana" w:hAnsi="Verdana"/>
          <w:bCs/>
          <w:sz w:val="20"/>
          <w:szCs w:val="20"/>
        </w:rPr>
        <w:t xml:space="preserve">. The aim of the workshop </w:t>
      </w:r>
      <w:r>
        <w:rPr>
          <w:rFonts w:ascii="Verdana" w:hAnsi="Verdana"/>
          <w:bCs/>
          <w:sz w:val="20"/>
          <w:szCs w:val="20"/>
        </w:rPr>
        <w:t xml:space="preserve">was </w:t>
      </w:r>
      <w:r w:rsidRPr="00726238">
        <w:rPr>
          <w:rFonts w:ascii="Verdana" w:hAnsi="Verdana"/>
          <w:bCs/>
          <w:sz w:val="20"/>
          <w:szCs w:val="20"/>
        </w:rPr>
        <w:t>to assist aeronautical meteorological service providers in the Asia/Pacific Region, especially those within the coverage of JMA’s meteorological satellite Himawari-8, in improving the competency of their aeronautical meteorological forecasters in meeting effectively the international requirements for issuance of SIGMET information.</w:t>
      </w:r>
    </w:p>
    <w:p w:rsidR="00726238" w:rsidRDefault="00726238" w:rsidP="00726238">
      <w:pPr>
        <w:jc w:val="both"/>
        <w:rPr>
          <w:rFonts w:ascii="Verdana" w:hAnsi="Verdana"/>
          <w:bCs/>
          <w:sz w:val="20"/>
          <w:szCs w:val="20"/>
        </w:rPr>
      </w:pPr>
    </w:p>
    <w:p w:rsidR="00726238" w:rsidRPr="00726238" w:rsidRDefault="00726238" w:rsidP="00B04847">
      <w:pPr>
        <w:pStyle w:val="ListParagraph"/>
        <w:numPr>
          <w:ilvl w:val="1"/>
          <w:numId w:val="7"/>
        </w:numPr>
        <w:ind w:left="0" w:firstLine="0"/>
        <w:jc w:val="both"/>
        <w:rPr>
          <w:rFonts w:ascii="Verdana" w:hAnsi="Verdana"/>
          <w:bCs/>
          <w:sz w:val="20"/>
          <w:szCs w:val="20"/>
        </w:rPr>
      </w:pPr>
      <w:r w:rsidRPr="00726238">
        <w:rPr>
          <w:rFonts w:ascii="Verdana" w:hAnsi="Verdana"/>
          <w:bCs/>
          <w:sz w:val="20"/>
          <w:szCs w:val="20"/>
        </w:rPr>
        <w:t xml:space="preserve">The annual WMO/UK Met Office Aviation Seminar </w:t>
      </w:r>
      <w:r>
        <w:rPr>
          <w:rFonts w:ascii="Verdana" w:hAnsi="Verdana"/>
          <w:bCs/>
          <w:sz w:val="20"/>
          <w:szCs w:val="20"/>
        </w:rPr>
        <w:t>was</w:t>
      </w:r>
      <w:r w:rsidRPr="00726238">
        <w:rPr>
          <w:rFonts w:ascii="Verdana" w:hAnsi="Verdana"/>
          <w:bCs/>
          <w:sz w:val="20"/>
          <w:szCs w:val="20"/>
        </w:rPr>
        <w:t xml:space="preserve"> hosted this year by the Meteorological Climatological and Geophysical Agency (BMKG) in Jakarta, Indonesia, from Monday 26 to Friday 30 September 2016. The seminar provide</w:t>
      </w:r>
      <w:r w:rsidR="00F11BD7">
        <w:rPr>
          <w:rFonts w:ascii="Verdana" w:hAnsi="Verdana"/>
          <w:bCs/>
          <w:sz w:val="20"/>
          <w:szCs w:val="20"/>
        </w:rPr>
        <w:t>d</w:t>
      </w:r>
      <w:r w:rsidRPr="00726238">
        <w:rPr>
          <w:rFonts w:ascii="Verdana" w:hAnsi="Verdana"/>
          <w:bCs/>
          <w:sz w:val="20"/>
          <w:szCs w:val="20"/>
        </w:rPr>
        <w:t xml:space="preserve"> training, guidance and practical examples of several key aspects of meteorology and forecasting for </w:t>
      </w:r>
      <w:r w:rsidR="00F11BD7">
        <w:rPr>
          <w:rFonts w:ascii="Verdana" w:hAnsi="Verdana"/>
          <w:bCs/>
          <w:sz w:val="20"/>
          <w:szCs w:val="20"/>
        </w:rPr>
        <w:t>a</w:t>
      </w:r>
      <w:r w:rsidRPr="00726238">
        <w:rPr>
          <w:rFonts w:ascii="Verdana" w:hAnsi="Verdana"/>
          <w:bCs/>
          <w:sz w:val="20"/>
          <w:szCs w:val="20"/>
        </w:rPr>
        <w:t xml:space="preserve">viation, to support forecasters in this specialized area. This year’s seminar </w:t>
      </w:r>
      <w:r w:rsidR="00F11BD7">
        <w:rPr>
          <w:rFonts w:ascii="Verdana" w:hAnsi="Verdana"/>
          <w:bCs/>
          <w:sz w:val="20"/>
          <w:szCs w:val="20"/>
        </w:rPr>
        <w:t>programme</w:t>
      </w:r>
      <w:r w:rsidRPr="00726238">
        <w:rPr>
          <w:rFonts w:ascii="Verdana" w:hAnsi="Verdana"/>
          <w:bCs/>
          <w:sz w:val="20"/>
          <w:szCs w:val="20"/>
        </w:rPr>
        <w:t xml:space="preserve"> focus</w:t>
      </w:r>
      <w:r w:rsidR="00F11BD7">
        <w:rPr>
          <w:rFonts w:ascii="Verdana" w:hAnsi="Verdana"/>
          <w:bCs/>
          <w:sz w:val="20"/>
          <w:szCs w:val="20"/>
        </w:rPr>
        <w:t>ed</w:t>
      </w:r>
      <w:r w:rsidRPr="00726238">
        <w:rPr>
          <w:rFonts w:ascii="Verdana" w:hAnsi="Verdana"/>
          <w:bCs/>
          <w:sz w:val="20"/>
          <w:szCs w:val="20"/>
        </w:rPr>
        <w:t xml:space="preserve"> on the topics of Aviation Hazards and SIGMETs.</w:t>
      </w:r>
    </w:p>
    <w:p w:rsidR="00A92952" w:rsidRDefault="00A92952" w:rsidP="00A92952">
      <w:pPr>
        <w:jc w:val="both"/>
        <w:rPr>
          <w:rFonts w:ascii="Verdana" w:hAnsi="Verdana"/>
          <w:bCs/>
          <w:sz w:val="20"/>
          <w:szCs w:val="20"/>
        </w:rPr>
      </w:pPr>
    </w:p>
    <w:p w:rsidR="00A92952" w:rsidRPr="00A92952" w:rsidRDefault="00A92952" w:rsidP="009C73D2">
      <w:pPr>
        <w:jc w:val="both"/>
        <w:rPr>
          <w:rFonts w:ascii="Verdana" w:eastAsiaTheme="minorEastAsia" w:hAnsi="Verdana" w:cstheme="minorBidi"/>
          <w:b/>
          <w:bCs/>
          <w:i/>
          <w:iCs/>
          <w:sz w:val="20"/>
          <w:szCs w:val="22"/>
        </w:rPr>
      </w:pPr>
      <w:r w:rsidRPr="00A92952">
        <w:rPr>
          <w:rFonts w:ascii="Verdana" w:eastAsiaTheme="minorEastAsia" w:hAnsi="Verdana" w:cstheme="minorBidi"/>
          <w:b/>
          <w:bCs/>
          <w:i/>
          <w:iCs/>
          <w:sz w:val="20"/>
          <w:szCs w:val="22"/>
        </w:rPr>
        <w:t xml:space="preserve">RA </w:t>
      </w:r>
      <w:r w:rsidR="009C73D2">
        <w:rPr>
          <w:rFonts w:ascii="Verdana" w:eastAsiaTheme="minorEastAsia" w:hAnsi="Verdana" w:cstheme="minorBidi"/>
          <w:b/>
          <w:bCs/>
          <w:i/>
          <w:iCs/>
          <w:sz w:val="20"/>
          <w:szCs w:val="22"/>
        </w:rPr>
        <w:t>VI</w:t>
      </w:r>
      <w:r>
        <w:rPr>
          <w:rFonts w:ascii="Verdana" w:eastAsiaTheme="minorEastAsia" w:hAnsi="Verdana" w:cstheme="minorBidi"/>
          <w:b/>
          <w:bCs/>
          <w:i/>
          <w:iCs/>
          <w:sz w:val="20"/>
          <w:szCs w:val="22"/>
        </w:rPr>
        <w:t xml:space="preserve"> (Europe)</w:t>
      </w:r>
    </w:p>
    <w:p w:rsidR="00A92952" w:rsidRPr="00A92952" w:rsidRDefault="00A92952" w:rsidP="00A92952">
      <w:pPr>
        <w:jc w:val="both"/>
        <w:rPr>
          <w:rFonts w:ascii="Verdana" w:eastAsiaTheme="minorEastAsia" w:hAnsi="Verdana" w:cstheme="minorBidi"/>
          <w:sz w:val="20"/>
          <w:szCs w:val="22"/>
        </w:rPr>
      </w:pPr>
    </w:p>
    <w:p w:rsidR="00A92952" w:rsidRDefault="0052360D" w:rsidP="00B04847">
      <w:pPr>
        <w:pStyle w:val="ListParagraph"/>
        <w:numPr>
          <w:ilvl w:val="1"/>
          <w:numId w:val="7"/>
        </w:numPr>
        <w:ind w:left="0" w:firstLine="0"/>
        <w:jc w:val="both"/>
        <w:rPr>
          <w:rFonts w:ascii="Verdana" w:hAnsi="Verdana"/>
          <w:bCs/>
          <w:sz w:val="20"/>
          <w:szCs w:val="20"/>
        </w:rPr>
      </w:pPr>
      <w:r>
        <w:rPr>
          <w:rFonts w:ascii="Verdana" w:hAnsi="Verdana"/>
          <w:bCs/>
          <w:sz w:val="20"/>
          <w:szCs w:val="20"/>
        </w:rPr>
        <w:t>(ECMA-2015 covered in ET-CCP report)</w:t>
      </w:r>
    </w:p>
    <w:p w:rsidR="00A92952" w:rsidRPr="00A92952" w:rsidRDefault="00A92952" w:rsidP="00A92952">
      <w:pPr>
        <w:pStyle w:val="ListParagraph"/>
        <w:ind w:left="0"/>
        <w:jc w:val="both"/>
        <w:rPr>
          <w:rFonts w:ascii="Verdana" w:hAnsi="Verdana"/>
          <w:bCs/>
          <w:sz w:val="20"/>
          <w:szCs w:val="20"/>
        </w:rPr>
      </w:pPr>
    </w:p>
    <w:p w:rsidR="00A857D2" w:rsidRPr="00A857D2" w:rsidRDefault="0052360D" w:rsidP="00B04847">
      <w:pPr>
        <w:pStyle w:val="ListParagraph"/>
        <w:numPr>
          <w:ilvl w:val="1"/>
          <w:numId w:val="7"/>
        </w:numPr>
        <w:ind w:left="0" w:firstLine="0"/>
        <w:jc w:val="both"/>
        <w:rPr>
          <w:rFonts w:ascii="Verdana" w:hAnsi="Verdana"/>
          <w:bCs/>
          <w:sz w:val="20"/>
          <w:szCs w:val="20"/>
        </w:rPr>
      </w:pPr>
      <w:r w:rsidRPr="005C07BB">
        <w:rPr>
          <w:rFonts w:ascii="Verdana" w:hAnsi="Verdana"/>
          <w:bCs/>
          <w:sz w:val="20"/>
          <w:szCs w:val="20"/>
        </w:rPr>
        <w:t xml:space="preserve">The first </w:t>
      </w:r>
      <w:r w:rsidR="005C07BB">
        <w:rPr>
          <w:rFonts w:ascii="Verdana" w:hAnsi="Verdana"/>
          <w:bCs/>
          <w:sz w:val="20"/>
          <w:szCs w:val="20"/>
        </w:rPr>
        <w:t xml:space="preserve">ICAO </w:t>
      </w:r>
      <w:r w:rsidRPr="005C07BB">
        <w:rPr>
          <w:rFonts w:ascii="Verdana" w:hAnsi="Verdana"/>
          <w:bCs/>
          <w:sz w:val="20"/>
          <w:szCs w:val="20"/>
        </w:rPr>
        <w:t>Workshop on Implementing the ICAO Meteorological Information Exchange Model (IWXXM)</w:t>
      </w:r>
      <w:r w:rsidR="005C07BB" w:rsidRPr="005C07BB">
        <w:rPr>
          <w:rFonts w:ascii="Verdana" w:hAnsi="Verdana"/>
          <w:bCs/>
          <w:sz w:val="20"/>
          <w:szCs w:val="20"/>
        </w:rPr>
        <w:t xml:space="preserve"> </w:t>
      </w:r>
      <w:r w:rsidRPr="005C07BB">
        <w:rPr>
          <w:rFonts w:ascii="Verdana" w:hAnsi="Verdana"/>
          <w:bCs/>
          <w:sz w:val="20"/>
          <w:szCs w:val="20"/>
        </w:rPr>
        <w:t>for the exchange of OPMET data</w:t>
      </w:r>
      <w:r w:rsidR="005C07BB" w:rsidRPr="005C07BB">
        <w:rPr>
          <w:rFonts w:ascii="Verdana" w:hAnsi="Verdana"/>
          <w:bCs/>
          <w:sz w:val="20"/>
          <w:szCs w:val="20"/>
        </w:rPr>
        <w:t xml:space="preserve"> </w:t>
      </w:r>
      <w:r w:rsidR="005C07BB">
        <w:rPr>
          <w:rFonts w:ascii="Verdana" w:hAnsi="Verdana"/>
          <w:bCs/>
          <w:sz w:val="20"/>
          <w:szCs w:val="20"/>
        </w:rPr>
        <w:t xml:space="preserve">was held in </w:t>
      </w:r>
      <w:r w:rsidRPr="005C07BB">
        <w:rPr>
          <w:rFonts w:ascii="Verdana" w:hAnsi="Verdana"/>
          <w:bCs/>
          <w:sz w:val="20"/>
          <w:szCs w:val="20"/>
        </w:rPr>
        <w:t>Pari</w:t>
      </w:r>
      <w:r w:rsidR="005C07BB">
        <w:rPr>
          <w:rFonts w:ascii="Verdana" w:hAnsi="Verdana"/>
          <w:bCs/>
          <w:sz w:val="20"/>
          <w:szCs w:val="20"/>
        </w:rPr>
        <w:t xml:space="preserve">s, France, 31 May – 2 June 2016. The event was targeted at the experts from Regional OPMET Data Banks (RODB) in order to initiate the planning for a transition period from TAC to XML. </w:t>
      </w:r>
    </w:p>
    <w:p w:rsidR="00A92952" w:rsidRPr="00A92952" w:rsidRDefault="00A92952" w:rsidP="00A92952">
      <w:pPr>
        <w:jc w:val="both"/>
        <w:rPr>
          <w:rFonts w:ascii="Verdana" w:hAnsi="Verdana"/>
          <w:bCs/>
          <w:sz w:val="20"/>
          <w:szCs w:val="20"/>
        </w:rPr>
      </w:pPr>
    </w:p>
    <w:p w:rsidR="00A92952" w:rsidRPr="00A92952" w:rsidRDefault="00A92952" w:rsidP="003C5A1F">
      <w:pPr>
        <w:pStyle w:val="ListParagraph"/>
        <w:ind w:left="0"/>
        <w:jc w:val="both"/>
        <w:rPr>
          <w:rFonts w:ascii="Verdana" w:hAnsi="Verdana"/>
          <w:b/>
          <w:i/>
          <w:iCs/>
          <w:sz w:val="20"/>
          <w:szCs w:val="20"/>
        </w:rPr>
      </w:pPr>
      <w:r w:rsidRPr="00A92952">
        <w:rPr>
          <w:rFonts w:ascii="Verdana" w:hAnsi="Verdana"/>
          <w:b/>
          <w:i/>
          <w:iCs/>
          <w:sz w:val="20"/>
          <w:szCs w:val="20"/>
        </w:rPr>
        <w:t>Multi-region</w:t>
      </w:r>
    </w:p>
    <w:p w:rsidR="00A92952" w:rsidRPr="004720CC" w:rsidRDefault="00A92952" w:rsidP="003C5A1F">
      <w:pPr>
        <w:pStyle w:val="ListParagraph"/>
        <w:ind w:left="0"/>
        <w:jc w:val="both"/>
        <w:rPr>
          <w:rFonts w:ascii="Verdana" w:hAnsi="Verdana"/>
          <w:bCs/>
          <w:sz w:val="20"/>
          <w:szCs w:val="20"/>
        </w:rPr>
      </w:pPr>
    </w:p>
    <w:p w:rsidR="003C5A1F" w:rsidRDefault="003C5A1F" w:rsidP="00B04847">
      <w:pPr>
        <w:pStyle w:val="ListParagraph"/>
        <w:numPr>
          <w:ilvl w:val="1"/>
          <w:numId w:val="7"/>
        </w:numPr>
        <w:ind w:left="0" w:firstLine="0"/>
        <w:jc w:val="both"/>
        <w:rPr>
          <w:rFonts w:ascii="Verdana" w:hAnsi="Verdana"/>
          <w:bCs/>
          <w:sz w:val="20"/>
          <w:szCs w:val="20"/>
        </w:rPr>
      </w:pPr>
      <w:r>
        <w:rPr>
          <w:rFonts w:ascii="Verdana" w:hAnsi="Verdana"/>
          <w:bCs/>
          <w:sz w:val="20"/>
          <w:szCs w:val="20"/>
        </w:rPr>
        <w:t>The MG noted that an Aviation Research Demonstration Project (AvRDP) – established to develop, demonstrate and quantify, through international collaboration, the benefits of end-to-end nowcasting services for the terminal area focussed on high-impact weather – was continuing in RA I, RA II, RA IV and RA VI as a joint venture between CAeM, CAS and CBS. The MG was pleased to note that a capacity building workshop in this regard had been held in Hong Kong, China in July 2016 coinciding with a special session on AvRDP held during the WMO/World Weather Research Programme (WWRP) 4</w:t>
      </w:r>
      <w:r w:rsidRPr="00DE30F5">
        <w:rPr>
          <w:rFonts w:ascii="Verdana" w:hAnsi="Verdana"/>
          <w:bCs/>
          <w:sz w:val="20"/>
          <w:szCs w:val="20"/>
          <w:vertAlign w:val="superscript"/>
        </w:rPr>
        <w:t>th</w:t>
      </w:r>
      <w:r>
        <w:rPr>
          <w:rFonts w:ascii="Verdana" w:hAnsi="Verdana"/>
          <w:bCs/>
          <w:sz w:val="20"/>
          <w:szCs w:val="20"/>
        </w:rPr>
        <w:t xml:space="preserve"> International Symposium on Nowcasting and Very-short-range Forecast (WSN-16).</w:t>
      </w:r>
      <w:r w:rsidR="00A92952">
        <w:rPr>
          <w:rFonts w:ascii="Verdana" w:hAnsi="Verdana"/>
          <w:bCs/>
          <w:sz w:val="20"/>
          <w:szCs w:val="20"/>
        </w:rPr>
        <w:t xml:space="preserve"> The MG noted that it would discuss AvRDP further in the context of the planned WMO scientific event in 2017 (Item 7.3 refers).</w:t>
      </w:r>
    </w:p>
    <w:p w:rsidR="00F11BD7" w:rsidRPr="00F11BD7" w:rsidRDefault="00F11BD7" w:rsidP="00F11BD7">
      <w:pPr>
        <w:jc w:val="both"/>
        <w:rPr>
          <w:rFonts w:ascii="Verdana" w:hAnsi="Verdana"/>
          <w:b/>
          <w:i/>
          <w:iCs/>
          <w:sz w:val="20"/>
          <w:szCs w:val="20"/>
        </w:rPr>
      </w:pPr>
      <w:bookmarkStart w:id="0" w:name="_GoBack"/>
      <w:bookmarkEnd w:id="0"/>
      <w:r w:rsidRPr="00F11BD7">
        <w:rPr>
          <w:rFonts w:ascii="Verdana" w:hAnsi="Verdana"/>
          <w:b/>
          <w:i/>
          <w:iCs/>
          <w:sz w:val="20"/>
          <w:szCs w:val="20"/>
        </w:rPr>
        <w:lastRenderedPageBreak/>
        <w:t>Proposed topics for future coordination with the Regional Associations</w:t>
      </w:r>
    </w:p>
    <w:p w:rsidR="003C5A1F" w:rsidRPr="00720557" w:rsidRDefault="003C5A1F" w:rsidP="00A92952">
      <w:pPr>
        <w:pStyle w:val="ListParagraph"/>
        <w:ind w:left="0"/>
        <w:jc w:val="both"/>
        <w:rPr>
          <w:rFonts w:ascii="Verdana" w:hAnsi="Verdana"/>
          <w:bCs/>
          <w:sz w:val="20"/>
          <w:szCs w:val="20"/>
        </w:rPr>
      </w:pPr>
    </w:p>
    <w:p w:rsidR="00F11BD7" w:rsidRDefault="00F11BD7" w:rsidP="00B04847">
      <w:pPr>
        <w:pStyle w:val="ListParagraph"/>
        <w:numPr>
          <w:ilvl w:val="1"/>
          <w:numId w:val="7"/>
        </w:numPr>
        <w:ind w:left="0" w:firstLine="0"/>
        <w:jc w:val="both"/>
        <w:rPr>
          <w:rFonts w:ascii="Verdana" w:hAnsi="Verdana"/>
          <w:sz w:val="20"/>
          <w:szCs w:val="20"/>
        </w:rPr>
      </w:pPr>
      <w:r>
        <w:rPr>
          <w:rFonts w:ascii="Verdana" w:hAnsi="Verdana"/>
          <w:sz w:val="20"/>
          <w:szCs w:val="20"/>
        </w:rPr>
        <w:t>The MG noted that the next cycle of RA Sessions starts in the first quarter of 2017 with the 16</w:t>
      </w:r>
      <w:r w:rsidRPr="00F11BD7">
        <w:rPr>
          <w:rFonts w:ascii="Verdana" w:hAnsi="Verdana"/>
          <w:sz w:val="20"/>
          <w:szCs w:val="20"/>
          <w:vertAlign w:val="superscript"/>
        </w:rPr>
        <w:t>th</w:t>
      </w:r>
      <w:r>
        <w:rPr>
          <w:rFonts w:ascii="Verdana" w:hAnsi="Verdana"/>
          <w:sz w:val="20"/>
          <w:szCs w:val="20"/>
        </w:rPr>
        <w:t xml:space="preserve"> session of RA II (Asia) to be held at </w:t>
      </w:r>
      <w:r w:rsidRPr="00F11BD7">
        <w:rPr>
          <w:rFonts w:ascii="Verdana" w:hAnsi="Verdana"/>
          <w:sz w:val="20"/>
          <w:szCs w:val="20"/>
        </w:rPr>
        <w:t>Abu Dhabi, UAE, 12-16 February 2017</w:t>
      </w:r>
      <w:r>
        <w:rPr>
          <w:rFonts w:ascii="Verdana" w:hAnsi="Verdana"/>
          <w:sz w:val="20"/>
          <w:szCs w:val="20"/>
        </w:rPr>
        <w:t>,</w:t>
      </w:r>
      <w:r w:rsidRPr="00F11BD7">
        <w:rPr>
          <w:rFonts w:ascii="Verdana" w:hAnsi="Verdana"/>
          <w:sz w:val="20"/>
          <w:szCs w:val="20"/>
        </w:rPr>
        <w:t xml:space="preserve"> preceded by the seventh session of Regional Conference (RECO-7) on 10-11 February 2017</w:t>
      </w:r>
      <w:r>
        <w:rPr>
          <w:rFonts w:ascii="Verdana" w:hAnsi="Verdana"/>
          <w:sz w:val="20"/>
          <w:szCs w:val="20"/>
        </w:rPr>
        <w:t xml:space="preserve">. </w:t>
      </w:r>
      <w:r w:rsidR="004C4BE1">
        <w:rPr>
          <w:rFonts w:ascii="Verdana" w:hAnsi="Verdana"/>
          <w:sz w:val="20"/>
          <w:szCs w:val="20"/>
        </w:rPr>
        <w:t>The 17</w:t>
      </w:r>
      <w:r w:rsidR="004C4BE1" w:rsidRPr="004C4BE1">
        <w:rPr>
          <w:rFonts w:ascii="Verdana" w:hAnsi="Verdana"/>
          <w:sz w:val="20"/>
          <w:szCs w:val="20"/>
          <w:vertAlign w:val="superscript"/>
        </w:rPr>
        <w:t>th</w:t>
      </w:r>
      <w:r w:rsidR="004C4BE1">
        <w:rPr>
          <w:rFonts w:ascii="Verdana" w:hAnsi="Verdana"/>
          <w:sz w:val="20"/>
          <w:szCs w:val="20"/>
        </w:rPr>
        <w:t xml:space="preserve"> Session of RA IV (North America, Central America and the Caribbean) will be held in Costa Rica from 27 to 31 March 2017. The 17</w:t>
      </w:r>
      <w:r w:rsidR="004C4BE1" w:rsidRPr="004C4BE1">
        <w:rPr>
          <w:rFonts w:ascii="Verdana" w:hAnsi="Verdana"/>
          <w:sz w:val="20"/>
          <w:szCs w:val="20"/>
          <w:vertAlign w:val="superscript"/>
        </w:rPr>
        <w:t>th</w:t>
      </w:r>
      <w:r w:rsidR="004C4BE1">
        <w:rPr>
          <w:rFonts w:ascii="Verdana" w:hAnsi="Verdana"/>
          <w:sz w:val="20"/>
          <w:szCs w:val="20"/>
        </w:rPr>
        <w:t xml:space="preserve"> Session of RA VI (Europe) is scheduled for September 2017 in Croatia (dates to be advised in due course). </w:t>
      </w:r>
    </w:p>
    <w:p w:rsidR="004C4BE1" w:rsidRDefault="004C4BE1" w:rsidP="004C4BE1">
      <w:pPr>
        <w:rPr>
          <w:rFonts w:ascii="Verdana" w:hAnsi="Verdana"/>
          <w:sz w:val="20"/>
          <w:szCs w:val="20"/>
        </w:rPr>
      </w:pPr>
    </w:p>
    <w:p w:rsidR="004C4BE1" w:rsidRDefault="004C4BE1" w:rsidP="00B04847">
      <w:pPr>
        <w:pStyle w:val="ListParagraph"/>
        <w:numPr>
          <w:ilvl w:val="1"/>
          <w:numId w:val="7"/>
        </w:numPr>
        <w:ind w:left="0" w:firstLine="0"/>
        <w:jc w:val="both"/>
        <w:rPr>
          <w:rFonts w:ascii="Verdana" w:hAnsi="Verdana"/>
          <w:sz w:val="20"/>
          <w:szCs w:val="20"/>
        </w:rPr>
      </w:pPr>
      <w:r>
        <w:rPr>
          <w:rFonts w:ascii="Verdana" w:hAnsi="Verdana"/>
          <w:sz w:val="20"/>
          <w:szCs w:val="20"/>
        </w:rPr>
        <w:t>The MG agreed that the following topics should be included in general in the relevant RA’s decisions with the reflection of specific regional needs and priorities:</w:t>
      </w:r>
    </w:p>
    <w:p w:rsidR="004C4BE1" w:rsidRDefault="004C4BE1" w:rsidP="004C4BE1">
      <w:pPr>
        <w:rPr>
          <w:rFonts w:ascii="Verdana" w:hAnsi="Verdana"/>
          <w:sz w:val="20"/>
          <w:szCs w:val="20"/>
        </w:rPr>
      </w:pPr>
    </w:p>
    <w:p w:rsidR="004C4BE1" w:rsidRPr="0052360D" w:rsidRDefault="004C4BE1" w:rsidP="00952EEB">
      <w:pPr>
        <w:pStyle w:val="ListParagraph"/>
        <w:numPr>
          <w:ilvl w:val="0"/>
          <w:numId w:val="6"/>
        </w:numPr>
        <w:ind w:left="1134" w:hanging="425"/>
        <w:rPr>
          <w:rFonts w:ascii="Verdana" w:hAnsi="Verdana"/>
          <w:sz w:val="20"/>
          <w:szCs w:val="20"/>
        </w:rPr>
      </w:pPr>
      <w:r w:rsidRPr="0052360D">
        <w:rPr>
          <w:rFonts w:ascii="Verdana" w:hAnsi="Verdana"/>
          <w:sz w:val="20"/>
          <w:szCs w:val="20"/>
        </w:rPr>
        <w:t>Improvement of SIGMET provision – promote the cross-FIR SIGMET coordination</w:t>
      </w:r>
    </w:p>
    <w:p w:rsidR="004C4BE1" w:rsidRDefault="004C4BE1" w:rsidP="00952EEB">
      <w:pPr>
        <w:ind w:left="1134" w:hanging="425"/>
        <w:rPr>
          <w:rFonts w:ascii="Verdana" w:hAnsi="Verdana"/>
          <w:sz w:val="20"/>
          <w:szCs w:val="20"/>
        </w:rPr>
      </w:pPr>
    </w:p>
    <w:p w:rsidR="004C4BE1" w:rsidRPr="0052360D" w:rsidRDefault="004C4BE1" w:rsidP="00952EEB">
      <w:pPr>
        <w:pStyle w:val="ListParagraph"/>
        <w:numPr>
          <w:ilvl w:val="0"/>
          <w:numId w:val="6"/>
        </w:numPr>
        <w:ind w:left="1134" w:hanging="425"/>
        <w:rPr>
          <w:rFonts w:ascii="Verdana" w:hAnsi="Verdana"/>
          <w:sz w:val="20"/>
          <w:szCs w:val="20"/>
        </w:rPr>
      </w:pPr>
      <w:r w:rsidRPr="0052360D">
        <w:rPr>
          <w:rFonts w:ascii="Verdana" w:hAnsi="Verdana"/>
          <w:sz w:val="20"/>
          <w:szCs w:val="20"/>
        </w:rPr>
        <w:t>Implementation of QMS – for State that already implemented QMS - migration to the ISO 2001:2015; for those States that have not completed the implementation – focused support (e.g., through projects, such as the WISER described in para 1.1 above)</w:t>
      </w:r>
    </w:p>
    <w:p w:rsidR="004C4BE1" w:rsidRDefault="004C4BE1" w:rsidP="00952EEB">
      <w:pPr>
        <w:ind w:left="1134" w:hanging="425"/>
        <w:rPr>
          <w:rFonts w:ascii="Verdana" w:hAnsi="Verdana"/>
          <w:sz w:val="20"/>
          <w:szCs w:val="20"/>
        </w:rPr>
      </w:pPr>
    </w:p>
    <w:p w:rsidR="004C4BE1" w:rsidRPr="0052360D" w:rsidRDefault="004C4BE1" w:rsidP="00952EEB">
      <w:pPr>
        <w:pStyle w:val="ListParagraph"/>
        <w:numPr>
          <w:ilvl w:val="0"/>
          <w:numId w:val="6"/>
        </w:numPr>
        <w:ind w:left="1134" w:hanging="425"/>
        <w:rPr>
          <w:rFonts w:ascii="Verdana" w:hAnsi="Verdana"/>
          <w:sz w:val="20"/>
          <w:szCs w:val="20"/>
        </w:rPr>
      </w:pPr>
      <w:r w:rsidRPr="0052360D">
        <w:rPr>
          <w:rFonts w:ascii="Verdana" w:hAnsi="Verdana"/>
          <w:sz w:val="20"/>
          <w:szCs w:val="20"/>
        </w:rPr>
        <w:t>Competency and qualification of AMP – continued monitoring and identification of needs for capacity development</w:t>
      </w:r>
    </w:p>
    <w:p w:rsidR="004C4BE1" w:rsidRDefault="004C4BE1" w:rsidP="00952EEB">
      <w:pPr>
        <w:ind w:left="1134" w:hanging="425"/>
        <w:rPr>
          <w:rFonts w:ascii="Verdana" w:hAnsi="Verdana"/>
          <w:sz w:val="20"/>
          <w:szCs w:val="20"/>
        </w:rPr>
      </w:pPr>
    </w:p>
    <w:p w:rsidR="0052360D" w:rsidRPr="0052360D" w:rsidRDefault="004C4BE1" w:rsidP="00952EEB">
      <w:pPr>
        <w:pStyle w:val="ListParagraph"/>
        <w:numPr>
          <w:ilvl w:val="0"/>
          <w:numId w:val="6"/>
        </w:numPr>
        <w:ind w:left="1134" w:hanging="425"/>
        <w:rPr>
          <w:rFonts w:ascii="Verdana" w:hAnsi="Verdana"/>
          <w:sz w:val="20"/>
          <w:szCs w:val="20"/>
        </w:rPr>
      </w:pPr>
      <w:r w:rsidRPr="0052360D">
        <w:rPr>
          <w:rFonts w:ascii="Verdana" w:hAnsi="Verdana"/>
          <w:sz w:val="20"/>
          <w:szCs w:val="20"/>
        </w:rPr>
        <w:t xml:space="preserve">Migration to IWXXM – coordinated </w:t>
      </w:r>
      <w:r w:rsidR="0052360D" w:rsidRPr="0052360D">
        <w:rPr>
          <w:rFonts w:ascii="Verdana" w:hAnsi="Verdana"/>
          <w:sz w:val="20"/>
          <w:szCs w:val="20"/>
        </w:rPr>
        <w:t xml:space="preserve">implementation support </w:t>
      </w:r>
      <w:r w:rsidRPr="0052360D">
        <w:rPr>
          <w:rFonts w:ascii="Verdana" w:hAnsi="Verdana"/>
          <w:sz w:val="20"/>
          <w:szCs w:val="20"/>
        </w:rPr>
        <w:t xml:space="preserve">actions </w:t>
      </w:r>
      <w:r w:rsidR="0052360D" w:rsidRPr="0052360D">
        <w:rPr>
          <w:rFonts w:ascii="Verdana" w:hAnsi="Verdana"/>
          <w:sz w:val="20"/>
          <w:szCs w:val="20"/>
        </w:rPr>
        <w:t>together with</w:t>
      </w:r>
      <w:r w:rsidRPr="0052360D">
        <w:rPr>
          <w:rFonts w:ascii="Verdana" w:hAnsi="Verdana"/>
          <w:sz w:val="20"/>
          <w:szCs w:val="20"/>
        </w:rPr>
        <w:t xml:space="preserve"> CBS and ICAO regional groups</w:t>
      </w:r>
    </w:p>
    <w:p w:rsidR="0052360D" w:rsidRDefault="0052360D" w:rsidP="00952EEB">
      <w:pPr>
        <w:ind w:left="1134" w:hanging="425"/>
        <w:rPr>
          <w:rFonts w:ascii="Verdana" w:hAnsi="Verdana"/>
          <w:sz w:val="20"/>
          <w:szCs w:val="20"/>
        </w:rPr>
      </w:pPr>
    </w:p>
    <w:p w:rsidR="004C4BE1" w:rsidRPr="0052360D" w:rsidRDefault="0052360D" w:rsidP="00952EEB">
      <w:pPr>
        <w:pStyle w:val="ListParagraph"/>
        <w:numPr>
          <w:ilvl w:val="0"/>
          <w:numId w:val="6"/>
        </w:numPr>
        <w:ind w:left="1134" w:hanging="425"/>
        <w:rPr>
          <w:rFonts w:ascii="Verdana" w:hAnsi="Verdana"/>
          <w:sz w:val="20"/>
          <w:szCs w:val="20"/>
        </w:rPr>
      </w:pPr>
      <w:r w:rsidRPr="0052360D">
        <w:rPr>
          <w:rFonts w:ascii="Verdana" w:hAnsi="Verdana"/>
          <w:sz w:val="20"/>
          <w:szCs w:val="20"/>
        </w:rPr>
        <w:t xml:space="preserve">GANP and ASBU awareness and national planning – further awareness events to be proposed for the regions, as appropriate; support information sharing on national implementation programmes and achievements to build collective capacity in support of the regional ATM enhancement. </w:t>
      </w:r>
      <w:r w:rsidR="004C4BE1" w:rsidRPr="0052360D">
        <w:rPr>
          <w:rFonts w:ascii="Verdana" w:hAnsi="Verdana"/>
          <w:sz w:val="20"/>
          <w:szCs w:val="20"/>
        </w:rPr>
        <w:t xml:space="preserve"> </w:t>
      </w:r>
    </w:p>
    <w:p w:rsidR="00F11BD7" w:rsidRDefault="00F11BD7">
      <w:pPr>
        <w:jc w:val="center"/>
        <w:rPr>
          <w:rFonts w:ascii="Verdana" w:hAnsi="Verdana"/>
          <w:sz w:val="20"/>
          <w:szCs w:val="20"/>
        </w:rPr>
      </w:pPr>
    </w:p>
    <w:p w:rsidR="00F11BD7" w:rsidRDefault="00F11BD7">
      <w:pPr>
        <w:jc w:val="center"/>
        <w:rPr>
          <w:rFonts w:ascii="Verdana" w:hAnsi="Verdana"/>
          <w:sz w:val="20"/>
          <w:szCs w:val="20"/>
        </w:rPr>
      </w:pPr>
    </w:p>
    <w:p w:rsidR="00613C50" w:rsidRPr="002169EF" w:rsidRDefault="002169EF">
      <w:pPr>
        <w:jc w:val="center"/>
        <w:rPr>
          <w:rFonts w:ascii="Verdana" w:hAnsi="Verdana"/>
          <w:sz w:val="20"/>
          <w:szCs w:val="20"/>
        </w:rPr>
      </w:pPr>
      <w:r w:rsidRPr="002169EF">
        <w:rPr>
          <w:rFonts w:ascii="Verdana" w:hAnsi="Verdana"/>
          <w:sz w:val="20"/>
          <w:szCs w:val="20"/>
        </w:rPr>
        <w:t>______</w:t>
      </w:r>
    </w:p>
    <w:p w:rsidR="00826DAF" w:rsidRPr="002169EF" w:rsidRDefault="00826DAF">
      <w:pPr>
        <w:jc w:val="center"/>
        <w:rPr>
          <w:rFonts w:ascii="Verdana" w:hAnsi="Verdana"/>
          <w:sz w:val="20"/>
          <w:szCs w:val="20"/>
        </w:rPr>
      </w:pPr>
    </w:p>
    <w:p w:rsidR="00D41D53" w:rsidRPr="002169EF" w:rsidRDefault="00D41D53">
      <w:pPr>
        <w:jc w:val="center"/>
        <w:rPr>
          <w:rFonts w:ascii="Verdana" w:hAnsi="Verdana"/>
          <w:sz w:val="20"/>
          <w:szCs w:val="20"/>
        </w:rPr>
      </w:pPr>
    </w:p>
    <w:sectPr w:rsidR="00D41D53" w:rsidRPr="002169EF" w:rsidSect="00E811C6">
      <w:headerReference w:type="first" r:id="rId10"/>
      <w:pgSz w:w="11907" w:h="16840" w:code="9"/>
      <w:pgMar w:top="1418" w:right="1418" w:bottom="1418"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A" w:rsidRDefault="0006335A">
      <w:r>
        <w:separator/>
      </w:r>
    </w:p>
  </w:endnote>
  <w:endnote w:type="continuationSeparator" w:id="0">
    <w:p w:rsidR="0006335A" w:rsidRDefault="000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A" w:rsidRDefault="0006335A">
      <w:r>
        <w:separator/>
      </w:r>
    </w:p>
  </w:footnote>
  <w:footnote w:type="continuationSeparator" w:id="0">
    <w:p w:rsidR="0006335A" w:rsidRDefault="0006335A">
      <w:r>
        <w:continuationSeparator/>
      </w:r>
    </w:p>
  </w:footnote>
  <w:footnote w:id="1">
    <w:p w:rsidR="00A92952" w:rsidRPr="004720CC" w:rsidRDefault="00A92952" w:rsidP="00A92952">
      <w:pPr>
        <w:pStyle w:val="FootnoteText"/>
        <w:rPr>
          <w:lang w:val="en-US"/>
        </w:rPr>
      </w:pPr>
      <w:r>
        <w:rPr>
          <w:rStyle w:val="FootnoteReference"/>
        </w:rPr>
        <w:footnoteRef/>
      </w:r>
      <w:r>
        <w:t xml:space="preserve"> </w:t>
      </w:r>
      <w:proofErr w:type="spellStart"/>
      <w:r w:rsidRPr="004720CC">
        <w:rPr>
          <w:sz w:val="16"/>
          <w:szCs w:val="16"/>
        </w:rPr>
        <w:t>Institut</w:t>
      </w:r>
      <w:proofErr w:type="spellEnd"/>
      <w:r w:rsidRPr="004720CC">
        <w:rPr>
          <w:sz w:val="16"/>
          <w:szCs w:val="16"/>
        </w:rPr>
        <w:t xml:space="preserve"> </w:t>
      </w:r>
      <w:proofErr w:type="spellStart"/>
      <w:r w:rsidRPr="004720CC">
        <w:rPr>
          <w:sz w:val="16"/>
          <w:szCs w:val="16"/>
        </w:rPr>
        <w:t>Geographique</w:t>
      </w:r>
      <w:proofErr w:type="spellEnd"/>
      <w:r w:rsidRPr="004720CC">
        <w:rPr>
          <w:sz w:val="16"/>
          <w:szCs w:val="16"/>
        </w:rPr>
        <w:t xml:space="preserve"> Du Burundi (IGEBU), National Meteorological Agency of Ethiopia (NMA), Rwanda Meteorological Agency, Uganda National Meteorological Authority (UNMA) and South Sudan Meteorological Department (SSMD).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C6" w:rsidRPr="00B04847" w:rsidRDefault="00FF3BB9" w:rsidP="00B04847">
    <w:pPr>
      <w:pStyle w:val="Header"/>
      <w:jc w:val="center"/>
      <w:rPr>
        <w:rFonts w:ascii="Verdana" w:hAnsi="Verdana"/>
        <w:sz w:val="18"/>
        <w:szCs w:val="18"/>
        <w:lang w:val="en-US"/>
      </w:rPr>
    </w:pPr>
    <w:r w:rsidRPr="00B04847">
      <w:rPr>
        <w:rFonts w:ascii="Verdana" w:hAnsi="Verdana"/>
        <w:sz w:val="18"/>
        <w:szCs w:val="18"/>
        <w:lang w:val="de-DE"/>
      </w:rPr>
      <w:t xml:space="preserve">CAeM-MG/2016/Doc. </w:t>
    </w:r>
    <w:r w:rsidR="00BF3223" w:rsidRPr="00B04847">
      <w:rPr>
        <w:rFonts w:ascii="Verdana" w:hAnsi="Verdana"/>
        <w:sz w:val="18"/>
        <w:szCs w:val="18"/>
        <w:lang w:val="en-US"/>
      </w:rPr>
      <w:t>7.</w:t>
    </w:r>
    <w:r w:rsidR="00B04847" w:rsidRPr="00B04847">
      <w:rPr>
        <w:rFonts w:ascii="Verdana" w:hAnsi="Verdana"/>
        <w:sz w:val="18"/>
        <w:szCs w:val="18"/>
        <w:lang w:val="en-US"/>
      </w:rPr>
      <w:t>2</w:t>
    </w:r>
    <w:r w:rsidR="00E811C6" w:rsidRPr="00B04847">
      <w:rPr>
        <w:rFonts w:ascii="Verdana" w:hAnsi="Verdana"/>
        <w:sz w:val="18"/>
        <w:szCs w:val="18"/>
        <w:lang w:val="en-US"/>
      </w:rPr>
      <w:t xml:space="preserve">, p. </w:t>
    </w:r>
    <w:r w:rsidR="00E811C6" w:rsidRPr="00B04847">
      <w:rPr>
        <w:rStyle w:val="PageNumber"/>
        <w:rFonts w:ascii="Verdana" w:hAnsi="Verdana"/>
        <w:sz w:val="18"/>
        <w:szCs w:val="18"/>
      </w:rPr>
      <w:fldChar w:fldCharType="begin"/>
    </w:r>
    <w:r w:rsidR="00E811C6" w:rsidRPr="00B04847">
      <w:rPr>
        <w:rStyle w:val="PageNumber"/>
        <w:rFonts w:ascii="Verdana" w:hAnsi="Verdana"/>
        <w:sz w:val="18"/>
        <w:szCs w:val="18"/>
      </w:rPr>
      <w:instrText xml:space="preserve"> PAGE </w:instrText>
    </w:r>
    <w:r w:rsidR="00E811C6" w:rsidRPr="00B04847">
      <w:rPr>
        <w:rStyle w:val="PageNumber"/>
        <w:rFonts w:ascii="Verdana" w:hAnsi="Verdana"/>
        <w:sz w:val="18"/>
        <w:szCs w:val="18"/>
      </w:rPr>
      <w:fldChar w:fldCharType="separate"/>
    </w:r>
    <w:r w:rsidR="00952EEB">
      <w:rPr>
        <w:rStyle w:val="PageNumber"/>
        <w:rFonts w:ascii="Verdana" w:hAnsi="Verdana"/>
        <w:noProof/>
        <w:sz w:val="18"/>
        <w:szCs w:val="18"/>
      </w:rPr>
      <w:t>4</w:t>
    </w:r>
    <w:r w:rsidR="00E811C6" w:rsidRPr="00B04847">
      <w:rPr>
        <w:rStyle w:val="PageNumber"/>
        <w:rFonts w:ascii="Verdana" w:hAnsi="Verdan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20" w:rsidRPr="001C154A" w:rsidRDefault="00E70820" w:rsidP="00BF3223">
    <w:pPr>
      <w:pStyle w:val="Header"/>
      <w:jc w:val="center"/>
      <w:rPr>
        <w:rFonts w:ascii="Verdana" w:hAnsi="Verdana"/>
        <w:sz w:val="18"/>
        <w:szCs w:val="18"/>
      </w:rPr>
    </w:pPr>
    <w:r w:rsidRPr="001C154A">
      <w:rPr>
        <w:rFonts w:ascii="Verdana" w:hAnsi="Verdana"/>
        <w:sz w:val="18"/>
        <w:szCs w:val="18"/>
        <w:lang w:val="de-DE"/>
      </w:rPr>
      <w:t>C</w:t>
    </w:r>
    <w:r w:rsidR="00AD5EA7" w:rsidRPr="001C154A">
      <w:rPr>
        <w:rFonts w:ascii="Verdana" w:hAnsi="Verdana"/>
        <w:sz w:val="18"/>
        <w:szCs w:val="18"/>
        <w:lang w:val="de-DE"/>
      </w:rPr>
      <w:t>A</w:t>
    </w:r>
    <w:r w:rsidR="004B4533" w:rsidRPr="001C154A">
      <w:rPr>
        <w:rFonts w:ascii="Verdana" w:hAnsi="Verdana"/>
        <w:sz w:val="18"/>
        <w:szCs w:val="18"/>
        <w:lang w:val="de-DE"/>
      </w:rPr>
      <w:t>eM-</w:t>
    </w:r>
    <w:r w:rsidRPr="001C154A">
      <w:rPr>
        <w:rFonts w:ascii="Verdana" w:hAnsi="Verdana"/>
        <w:sz w:val="18"/>
        <w:szCs w:val="18"/>
        <w:lang w:val="de-DE"/>
      </w:rPr>
      <w:t>MG</w:t>
    </w:r>
    <w:r w:rsidR="004B4533" w:rsidRPr="001C154A">
      <w:rPr>
        <w:rFonts w:ascii="Verdana" w:hAnsi="Verdana"/>
        <w:sz w:val="18"/>
        <w:szCs w:val="18"/>
        <w:lang w:val="de-DE"/>
      </w:rPr>
      <w:t>/</w:t>
    </w:r>
    <w:r w:rsidRPr="001C154A">
      <w:rPr>
        <w:rFonts w:ascii="Verdana" w:hAnsi="Verdana"/>
        <w:sz w:val="18"/>
        <w:szCs w:val="18"/>
        <w:lang w:val="de-DE"/>
      </w:rPr>
      <w:t>20</w:t>
    </w:r>
    <w:r w:rsidR="00AF62C8" w:rsidRPr="001C154A">
      <w:rPr>
        <w:rFonts w:ascii="Verdana" w:hAnsi="Verdana"/>
        <w:sz w:val="18"/>
        <w:szCs w:val="18"/>
        <w:lang w:val="de-DE"/>
      </w:rPr>
      <w:t>1</w:t>
    </w:r>
    <w:r w:rsidR="002169EF" w:rsidRPr="001C154A">
      <w:rPr>
        <w:rFonts w:ascii="Verdana" w:hAnsi="Verdana"/>
        <w:sz w:val="18"/>
        <w:szCs w:val="18"/>
        <w:lang w:val="de-DE"/>
      </w:rPr>
      <w:t>6</w:t>
    </w:r>
    <w:r w:rsidRPr="001C154A">
      <w:rPr>
        <w:rFonts w:ascii="Verdana" w:hAnsi="Verdana"/>
        <w:sz w:val="18"/>
        <w:szCs w:val="18"/>
        <w:lang w:val="de-DE"/>
      </w:rPr>
      <w:t xml:space="preserve">/Doc. </w:t>
    </w:r>
    <w:r w:rsidR="001C154A" w:rsidRPr="001C154A">
      <w:rPr>
        <w:rFonts w:ascii="Verdana" w:hAnsi="Verdana"/>
        <w:sz w:val="18"/>
        <w:szCs w:val="18"/>
        <w:lang w:val="de-DE"/>
      </w:rPr>
      <w:t>7.2</w:t>
    </w:r>
    <w:r w:rsidRPr="001C154A">
      <w:rPr>
        <w:rFonts w:ascii="Verdana" w:hAnsi="Verdana"/>
        <w:sz w:val="18"/>
        <w:szCs w:val="18"/>
        <w:lang w:val="de-DE"/>
      </w:rPr>
      <w:t xml:space="preserve">, p. </w:t>
    </w:r>
    <w:r w:rsidRPr="001C154A">
      <w:rPr>
        <w:rStyle w:val="PageNumber"/>
        <w:rFonts w:ascii="Verdana" w:hAnsi="Verdana"/>
        <w:sz w:val="18"/>
        <w:szCs w:val="18"/>
      </w:rPr>
      <w:fldChar w:fldCharType="begin"/>
    </w:r>
    <w:r w:rsidRPr="001C154A">
      <w:rPr>
        <w:rStyle w:val="PageNumber"/>
        <w:rFonts w:ascii="Verdana" w:hAnsi="Verdana"/>
        <w:sz w:val="18"/>
        <w:szCs w:val="18"/>
        <w:lang w:val="de-DE"/>
      </w:rPr>
      <w:instrText xml:space="preserve"> PAGE </w:instrText>
    </w:r>
    <w:r w:rsidRPr="001C154A">
      <w:rPr>
        <w:rStyle w:val="PageNumber"/>
        <w:rFonts w:ascii="Verdana" w:hAnsi="Verdana"/>
        <w:sz w:val="18"/>
        <w:szCs w:val="18"/>
      </w:rPr>
      <w:fldChar w:fldCharType="separate"/>
    </w:r>
    <w:r w:rsidR="00952EEB">
      <w:rPr>
        <w:rStyle w:val="PageNumber"/>
        <w:rFonts w:ascii="Verdana" w:hAnsi="Verdana"/>
        <w:noProof/>
        <w:sz w:val="18"/>
        <w:szCs w:val="18"/>
        <w:lang w:val="de-DE"/>
      </w:rPr>
      <w:t>2</w:t>
    </w:r>
    <w:r w:rsidRPr="001C154A">
      <w:rPr>
        <w:rStyle w:val="PageNumber"/>
        <w:rFonts w:ascii="Verdana" w:hAnsi="Verdana"/>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1">
    <w:nsid w:val="307D78E4"/>
    <w:multiLevelType w:val="multilevel"/>
    <w:tmpl w:val="2F285888"/>
    <w:lvl w:ilvl="0">
      <w:start w:val="1"/>
      <w:numFmt w:val="decimal"/>
      <w:lvlText w:val="%1."/>
      <w:lvlJc w:val="left"/>
      <w:pPr>
        <w:ind w:left="9433"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C7805C8"/>
    <w:multiLevelType w:val="multilevel"/>
    <w:tmpl w:val="0F94F9E4"/>
    <w:lvl w:ilvl="0">
      <w:start w:val="1"/>
      <w:numFmt w:val="decimal"/>
      <w:lvlText w:val="%1"/>
      <w:lvlJc w:val="left"/>
      <w:pPr>
        <w:ind w:left="360" w:hanging="360"/>
      </w:pPr>
      <w:rPr>
        <w:rFonts w:eastAsia="SimSun" w:cs="Times New Roman" w:hint="default"/>
      </w:rPr>
    </w:lvl>
    <w:lvl w:ilvl="1">
      <w:start w:val="1"/>
      <w:numFmt w:val="decimal"/>
      <w:lvlText w:val="%1.%2"/>
      <w:lvlJc w:val="left"/>
      <w:pPr>
        <w:ind w:left="1080" w:hanging="720"/>
      </w:pPr>
      <w:rPr>
        <w:rFonts w:eastAsia="SimSun" w:cs="Times New Roman" w:hint="default"/>
      </w:rPr>
    </w:lvl>
    <w:lvl w:ilvl="2">
      <w:start w:val="1"/>
      <w:numFmt w:val="decimal"/>
      <w:lvlText w:val="%1.%2.%3"/>
      <w:lvlJc w:val="left"/>
      <w:pPr>
        <w:ind w:left="1440" w:hanging="720"/>
      </w:pPr>
      <w:rPr>
        <w:rFonts w:eastAsia="SimSun" w:cs="Times New Roman" w:hint="default"/>
      </w:rPr>
    </w:lvl>
    <w:lvl w:ilvl="3">
      <w:start w:val="1"/>
      <w:numFmt w:val="decimal"/>
      <w:lvlText w:val="%1.%2.%3.%4"/>
      <w:lvlJc w:val="left"/>
      <w:pPr>
        <w:ind w:left="2160" w:hanging="1080"/>
      </w:pPr>
      <w:rPr>
        <w:rFonts w:eastAsia="SimSun" w:cs="Times New Roman" w:hint="default"/>
      </w:rPr>
    </w:lvl>
    <w:lvl w:ilvl="4">
      <w:start w:val="1"/>
      <w:numFmt w:val="decimal"/>
      <w:lvlText w:val="%1.%2.%3.%4.%5"/>
      <w:lvlJc w:val="left"/>
      <w:pPr>
        <w:ind w:left="2880" w:hanging="1440"/>
      </w:pPr>
      <w:rPr>
        <w:rFonts w:eastAsia="SimSun" w:cs="Times New Roman" w:hint="default"/>
      </w:rPr>
    </w:lvl>
    <w:lvl w:ilvl="5">
      <w:start w:val="1"/>
      <w:numFmt w:val="decimal"/>
      <w:lvlText w:val="%1.%2.%3.%4.%5.%6"/>
      <w:lvlJc w:val="left"/>
      <w:pPr>
        <w:ind w:left="3240" w:hanging="1440"/>
      </w:pPr>
      <w:rPr>
        <w:rFonts w:eastAsia="SimSun" w:cs="Times New Roman" w:hint="default"/>
      </w:rPr>
    </w:lvl>
    <w:lvl w:ilvl="6">
      <w:start w:val="1"/>
      <w:numFmt w:val="decimal"/>
      <w:lvlText w:val="%1.%2.%3.%4.%5.%6.%7"/>
      <w:lvlJc w:val="left"/>
      <w:pPr>
        <w:ind w:left="3960" w:hanging="1800"/>
      </w:pPr>
      <w:rPr>
        <w:rFonts w:eastAsia="SimSun" w:cs="Times New Roman" w:hint="default"/>
      </w:rPr>
    </w:lvl>
    <w:lvl w:ilvl="7">
      <w:start w:val="1"/>
      <w:numFmt w:val="decimal"/>
      <w:lvlText w:val="%1.%2.%3.%4.%5.%6.%7.%8"/>
      <w:lvlJc w:val="left"/>
      <w:pPr>
        <w:ind w:left="4680" w:hanging="2160"/>
      </w:pPr>
      <w:rPr>
        <w:rFonts w:eastAsia="SimSun" w:cs="Times New Roman" w:hint="default"/>
      </w:rPr>
    </w:lvl>
    <w:lvl w:ilvl="8">
      <w:start w:val="1"/>
      <w:numFmt w:val="decimal"/>
      <w:lvlText w:val="%1.%2.%3.%4.%5.%6.%7.%8.%9"/>
      <w:lvlJc w:val="left"/>
      <w:pPr>
        <w:ind w:left="5040" w:hanging="2160"/>
      </w:pPr>
      <w:rPr>
        <w:rFonts w:eastAsia="SimSun" w:cs="Times New Roman" w:hint="default"/>
      </w:rPr>
    </w:lvl>
  </w:abstractNum>
  <w:abstractNum w:abstractNumId="3">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4">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5">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6">
    <w:nsid w:val="70F249D5"/>
    <w:multiLevelType w:val="hybridMultilevel"/>
    <w:tmpl w:val="4A6C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20BB2"/>
    <w:rsid w:val="0006335A"/>
    <w:rsid w:val="00070D6B"/>
    <w:rsid w:val="00071F24"/>
    <w:rsid w:val="001406D3"/>
    <w:rsid w:val="00144072"/>
    <w:rsid w:val="001C154A"/>
    <w:rsid w:val="001D2A35"/>
    <w:rsid w:val="00203015"/>
    <w:rsid w:val="00214256"/>
    <w:rsid w:val="002156BB"/>
    <w:rsid w:val="002169EF"/>
    <w:rsid w:val="002172F1"/>
    <w:rsid w:val="00233900"/>
    <w:rsid w:val="00234E41"/>
    <w:rsid w:val="00241823"/>
    <w:rsid w:val="00285765"/>
    <w:rsid w:val="002C33B7"/>
    <w:rsid w:val="00306317"/>
    <w:rsid w:val="0031041F"/>
    <w:rsid w:val="003368DC"/>
    <w:rsid w:val="003B1630"/>
    <w:rsid w:val="003B57A7"/>
    <w:rsid w:val="003C5A1F"/>
    <w:rsid w:val="00405D97"/>
    <w:rsid w:val="004337EB"/>
    <w:rsid w:val="004720CC"/>
    <w:rsid w:val="004B4533"/>
    <w:rsid w:val="004C4BE1"/>
    <w:rsid w:val="004D7EB0"/>
    <w:rsid w:val="004F442D"/>
    <w:rsid w:val="004F5414"/>
    <w:rsid w:val="0052360D"/>
    <w:rsid w:val="005737A9"/>
    <w:rsid w:val="00581E2E"/>
    <w:rsid w:val="00584783"/>
    <w:rsid w:val="005A67A9"/>
    <w:rsid w:val="005C07BB"/>
    <w:rsid w:val="005D4D48"/>
    <w:rsid w:val="005E62E9"/>
    <w:rsid w:val="006120E2"/>
    <w:rsid w:val="00613C50"/>
    <w:rsid w:val="00650D4C"/>
    <w:rsid w:val="006910AC"/>
    <w:rsid w:val="00712B98"/>
    <w:rsid w:val="00726238"/>
    <w:rsid w:val="007300B1"/>
    <w:rsid w:val="00757681"/>
    <w:rsid w:val="007733F7"/>
    <w:rsid w:val="007762B9"/>
    <w:rsid w:val="00785281"/>
    <w:rsid w:val="007A0B86"/>
    <w:rsid w:val="007C0B34"/>
    <w:rsid w:val="007F1878"/>
    <w:rsid w:val="00826DAF"/>
    <w:rsid w:val="008516A1"/>
    <w:rsid w:val="00856CD7"/>
    <w:rsid w:val="008637FD"/>
    <w:rsid w:val="00891728"/>
    <w:rsid w:val="008B73F6"/>
    <w:rsid w:val="008C3DB0"/>
    <w:rsid w:val="008D1AC2"/>
    <w:rsid w:val="008D45ED"/>
    <w:rsid w:val="008D6DEF"/>
    <w:rsid w:val="008E7B33"/>
    <w:rsid w:val="008F1437"/>
    <w:rsid w:val="009060EC"/>
    <w:rsid w:val="0092483E"/>
    <w:rsid w:val="00925F4F"/>
    <w:rsid w:val="00952EEB"/>
    <w:rsid w:val="009A5722"/>
    <w:rsid w:val="009C73D2"/>
    <w:rsid w:val="00A0019E"/>
    <w:rsid w:val="00A03A9D"/>
    <w:rsid w:val="00A43995"/>
    <w:rsid w:val="00A507FE"/>
    <w:rsid w:val="00A80E45"/>
    <w:rsid w:val="00A857D2"/>
    <w:rsid w:val="00A92952"/>
    <w:rsid w:val="00AA3DDB"/>
    <w:rsid w:val="00AD25A3"/>
    <w:rsid w:val="00AD5EA7"/>
    <w:rsid w:val="00AE5EE7"/>
    <w:rsid w:val="00AF62C8"/>
    <w:rsid w:val="00B02E5F"/>
    <w:rsid w:val="00B04847"/>
    <w:rsid w:val="00B04871"/>
    <w:rsid w:val="00B33A3C"/>
    <w:rsid w:val="00B51572"/>
    <w:rsid w:val="00B92C71"/>
    <w:rsid w:val="00BA0751"/>
    <w:rsid w:val="00BB7F41"/>
    <w:rsid w:val="00BF3223"/>
    <w:rsid w:val="00BF6F78"/>
    <w:rsid w:val="00C1531A"/>
    <w:rsid w:val="00C41979"/>
    <w:rsid w:val="00CC0F5E"/>
    <w:rsid w:val="00CF01A8"/>
    <w:rsid w:val="00CF1702"/>
    <w:rsid w:val="00CF5ACC"/>
    <w:rsid w:val="00D26A50"/>
    <w:rsid w:val="00D41D53"/>
    <w:rsid w:val="00DA41BF"/>
    <w:rsid w:val="00DD5B51"/>
    <w:rsid w:val="00DD6673"/>
    <w:rsid w:val="00DE30F5"/>
    <w:rsid w:val="00E70820"/>
    <w:rsid w:val="00E71758"/>
    <w:rsid w:val="00E72C91"/>
    <w:rsid w:val="00E811C6"/>
    <w:rsid w:val="00EF4F8A"/>
    <w:rsid w:val="00F11BD7"/>
    <w:rsid w:val="00F3745E"/>
    <w:rsid w:val="00F70E40"/>
    <w:rsid w:val="00F72665"/>
    <w:rsid w:val="00F84610"/>
    <w:rsid w:val="00FB2328"/>
    <w:rsid w:val="00FC7EE5"/>
    <w:rsid w:val="00FE3D78"/>
    <w:rsid w:val="00FF3BB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BB7F41"/>
    <w:pPr>
      <w:ind w:left="720"/>
      <w:contextualSpacing/>
    </w:pPr>
  </w:style>
  <w:style w:type="paragraph" w:styleId="FootnoteText">
    <w:name w:val="footnote text"/>
    <w:basedOn w:val="Normal"/>
    <w:link w:val="FootnoteTextChar"/>
    <w:rsid w:val="008637FD"/>
    <w:rPr>
      <w:sz w:val="20"/>
      <w:szCs w:val="20"/>
    </w:rPr>
  </w:style>
  <w:style w:type="character" w:customStyle="1" w:styleId="FootnoteTextChar">
    <w:name w:val="Footnote Text Char"/>
    <w:basedOn w:val="DefaultParagraphFont"/>
    <w:link w:val="FootnoteText"/>
    <w:rsid w:val="008637FD"/>
    <w:rPr>
      <w:rFonts w:ascii="Arial" w:hAnsi="Arial"/>
      <w:lang w:val="en-GB" w:eastAsia="zh-CN"/>
    </w:rPr>
  </w:style>
  <w:style w:type="character" w:styleId="FootnoteReference">
    <w:name w:val="footnote reference"/>
    <w:basedOn w:val="DefaultParagraphFont"/>
    <w:rsid w:val="008637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BB7F41"/>
    <w:pPr>
      <w:ind w:left="720"/>
      <w:contextualSpacing/>
    </w:pPr>
  </w:style>
  <w:style w:type="paragraph" w:styleId="FootnoteText">
    <w:name w:val="footnote text"/>
    <w:basedOn w:val="Normal"/>
    <w:link w:val="FootnoteTextChar"/>
    <w:rsid w:val="008637FD"/>
    <w:rPr>
      <w:sz w:val="20"/>
      <w:szCs w:val="20"/>
    </w:rPr>
  </w:style>
  <w:style w:type="character" w:customStyle="1" w:styleId="FootnoteTextChar">
    <w:name w:val="Footnote Text Char"/>
    <w:basedOn w:val="DefaultParagraphFont"/>
    <w:link w:val="FootnoteText"/>
    <w:rsid w:val="008637FD"/>
    <w:rPr>
      <w:rFonts w:ascii="Arial" w:hAnsi="Arial"/>
      <w:lang w:val="en-GB" w:eastAsia="zh-CN"/>
    </w:rPr>
  </w:style>
  <w:style w:type="character" w:styleId="FootnoteReference">
    <w:name w:val="footnote reference"/>
    <w:basedOn w:val="DefaultParagraphFont"/>
    <w:rsid w:val="00863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D5F9-DCEA-46B4-8BA4-52E15F37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2016-11-03T13:10:00Z</dcterms:created>
  <dcterms:modified xsi:type="dcterms:W3CDTF">2016-11-03T13:22:00Z</dcterms:modified>
</cp:coreProperties>
</file>