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D166E5" w:rsidRDefault="00AB18F7" w:rsidP="00DE1CF9"/>
    <w:p w:rsidR="00A75EC4" w:rsidRDefault="00EF7462" w:rsidP="009C2463">
      <w:pPr>
        <w:spacing w:after="0"/>
        <w:jc w:val="center"/>
        <w:rPr>
          <w:b/>
          <w:bCs/>
        </w:rPr>
      </w:pPr>
      <w:r w:rsidRPr="00EF7462">
        <w:rPr>
          <w:b/>
          <w:bCs/>
        </w:rPr>
        <w:t>COORDINATION NEEDS</w:t>
      </w:r>
    </w:p>
    <w:p w:rsidR="00E82668" w:rsidRDefault="00E82668" w:rsidP="009C2463">
      <w:pPr>
        <w:spacing w:after="0"/>
        <w:jc w:val="center"/>
        <w:rPr>
          <w:b/>
          <w:bCs/>
        </w:rPr>
      </w:pPr>
    </w:p>
    <w:p w:rsidR="00E82668" w:rsidRPr="004C24BE" w:rsidRDefault="00EF7462" w:rsidP="00232B3C">
      <w:pPr>
        <w:jc w:val="center"/>
        <w:rPr>
          <w:i/>
        </w:rPr>
      </w:pPr>
      <w:r w:rsidRPr="004C24BE">
        <w:rPr>
          <w:i/>
        </w:rPr>
        <w:t xml:space="preserve"> </w:t>
      </w:r>
      <w:r w:rsidR="00E82668" w:rsidRPr="004C24BE">
        <w:rPr>
          <w:i/>
        </w:rPr>
        <w:t xml:space="preserve">(Submitted by </w:t>
      </w:r>
      <w:r w:rsidR="00232B3C">
        <w:rPr>
          <w:i/>
        </w:rPr>
        <w:t>the</w:t>
      </w:r>
      <w:r>
        <w:rPr>
          <w:i/>
        </w:rPr>
        <w:t xml:space="preserve"> WMO Secretariat</w:t>
      </w:r>
      <w:r w:rsidR="00E82668" w:rsidRPr="004C24BE">
        <w:rPr>
          <w:i/>
        </w:rPr>
        <w:t>)</w:t>
      </w:r>
    </w:p>
    <w:p w:rsidR="00E82668" w:rsidRDefault="00E82668" w:rsidP="00E82668">
      <w:pPr>
        <w:jc w:val="center"/>
      </w:pPr>
    </w:p>
    <w:p w:rsidR="00637B04" w:rsidRDefault="00637B04"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E82668" w:rsidTr="000351CC">
        <w:trPr>
          <w:jc w:val="center"/>
        </w:trPr>
        <w:tc>
          <w:tcPr>
            <w:tcW w:w="7203" w:type="dxa"/>
            <w:tcBorders>
              <w:top w:val="single" w:sz="6" w:space="0" w:color="auto"/>
              <w:bottom w:val="single" w:sz="6" w:space="0" w:color="auto"/>
            </w:tcBorders>
          </w:tcPr>
          <w:p w:rsidR="00E82668" w:rsidRDefault="00637B04" w:rsidP="000351CC">
            <w:pPr>
              <w:suppressAutoHyphens/>
              <w:jc w:val="center"/>
              <w:rPr>
                <w:rFonts w:cs="Arial"/>
                <w:b/>
              </w:rPr>
            </w:pPr>
            <w:r>
              <w:rPr>
                <w:rFonts w:cs="Arial"/>
                <w:b/>
              </w:rPr>
              <w:br/>
            </w:r>
            <w:r w:rsidR="00E82668">
              <w:rPr>
                <w:rFonts w:cs="Arial"/>
                <w:b/>
              </w:rPr>
              <w:t>Summary and Purpose of Document</w:t>
            </w:r>
          </w:p>
          <w:p w:rsidR="00E82668" w:rsidRDefault="00E82668" w:rsidP="00D27F39">
            <w:pPr>
              <w:spacing w:after="0" w:line="240" w:lineRule="auto"/>
              <w:jc w:val="both"/>
              <w:rPr>
                <w:rFonts w:cs="Arial"/>
              </w:rPr>
            </w:pPr>
            <w:r>
              <w:rPr>
                <w:rFonts w:cs="Arial"/>
              </w:rPr>
              <w:t xml:space="preserve">This document </w:t>
            </w:r>
            <w:r w:rsidR="00EF7462">
              <w:rPr>
                <w:rFonts w:cs="Arial"/>
              </w:rPr>
              <w:t>addresses:</w:t>
            </w:r>
          </w:p>
          <w:p w:rsidR="00D27F39" w:rsidRDefault="00D27F39" w:rsidP="00D27F39">
            <w:pPr>
              <w:spacing w:after="0" w:line="240" w:lineRule="auto"/>
              <w:jc w:val="both"/>
              <w:rPr>
                <w:rFonts w:cs="Arial"/>
              </w:rPr>
            </w:pPr>
          </w:p>
          <w:p w:rsidR="00D27F39" w:rsidRDefault="00EF7462" w:rsidP="00D27F39">
            <w:pPr>
              <w:pStyle w:val="ListParagraph"/>
              <w:numPr>
                <w:ilvl w:val="0"/>
                <w:numId w:val="3"/>
              </w:numPr>
              <w:spacing w:after="0" w:line="240" w:lineRule="auto"/>
              <w:ind w:left="698" w:hanging="283"/>
              <w:jc w:val="both"/>
              <w:rPr>
                <w:rFonts w:cs="Arial"/>
              </w:rPr>
            </w:pPr>
            <w:r>
              <w:rPr>
                <w:rFonts w:cs="Arial"/>
              </w:rPr>
              <w:t>c</w:t>
            </w:r>
            <w:r w:rsidRPr="00EF7462">
              <w:rPr>
                <w:rFonts w:cs="Arial"/>
              </w:rPr>
              <w:t>oordination with ICAO METP, its working groups and other relevant ICAO bodies (global and/or regional)</w:t>
            </w:r>
            <w:r>
              <w:rPr>
                <w:rFonts w:cs="Arial"/>
              </w:rPr>
              <w:t>;</w:t>
            </w:r>
          </w:p>
          <w:p w:rsidR="00EF7462" w:rsidRPr="00EF7462" w:rsidRDefault="00EF7462" w:rsidP="00D27F39">
            <w:pPr>
              <w:pStyle w:val="ListParagraph"/>
              <w:spacing w:after="0" w:line="240" w:lineRule="auto"/>
              <w:ind w:left="698"/>
              <w:jc w:val="both"/>
              <w:rPr>
                <w:rFonts w:cs="Arial"/>
              </w:rPr>
            </w:pPr>
            <w:r>
              <w:rPr>
                <w:rFonts w:cs="Arial"/>
              </w:rPr>
              <w:t xml:space="preserve"> </w:t>
            </w:r>
          </w:p>
          <w:p w:rsidR="00EF7462" w:rsidRPr="00EF7462" w:rsidRDefault="00EF7462" w:rsidP="00D27F39">
            <w:pPr>
              <w:pStyle w:val="ListParagraph"/>
              <w:numPr>
                <w:ilvl w:val="0"/>
                <w:numId w:val="3"/>
              </w:numPr>
              <w:spacing w:after="0" w:line="240" w:lineRule="auto"/>
              <w:ind w:left="698" w:hanging="283"/>
              <w:jc w:val="both"/>
              <w:rPr>
                <w:rFonts w:cs="Arial"/>
              </w:rPr>
            </w:pPr>
            <w:r>
              <w:rPr>
                <w:rFonts w:cs="Arial"/>
              </w:rPr>
              <w:t>c</w:t>
            </w:r>
            <w:r w:rsidRPr="00EF7462">
              <w:rPr>
                <w:rFonts w:cs="Arial"/>
              </w:rPr>
              <w:t>oordination with other WMO expert teams/bodies</w:t>
            </w:r>
            <w:r>
              <w:rPr>
                <w:rFonts w:cs="Arial"/>
              </w:rPr>
              <w:t>; and</w:t>
            </w:r>
            <w:r w:rsidRPr="00EF7462">
              <w:rPr>
                <w:rFonts w:cs="Arial"/>
              </w:rPr>
              <w:t xml:space="preserve"> </w:t>
            </w:r>
          </w:p>
          <w:p w:rsidR="00D27F39" w:rsidRDefault="00D27F39" w:rsidP="00D27F39">
            <w:pPr>
              <w:pStyle w:val="ListParagraph"/>
              <w:spacing w:after="0" w:line="240" w:lineRule="auto"/>
              <w:ind w:left="698"/>
              <w:jc w:val="both"/>
              <w:rPr>
                <w:rFonts w:cs="Arial"/>
              </w:rPr>
            </w:pPr>
          </w:p>
          <w:p w:rsidR="00EF7462" w:rsidRPr="00EF7462" w:rsidRDefault="00EF7462" w:rsidP="00D27F39">
            <w:pPr>
              <w:pStyle w:val="ListParagraph"/>
              <w:numPr>
                <w:ilvl w:val="0"/>
                <w:numId w:val="3"/>
              </w:numPr>
              <w:spacing w:after="0" w:line="240" w:lineRule="auto"/>
              <w:ind w:left="698" w:hanging="283"/>
              <w:jc w:val="both"/>
              <w:rPr>
                <w:rFonts w:cs="Arial"/>
              </w:rPr>
            </w:pPr>
            <w:r>
              <w:rPr>
                <w:rFonts w:cs="Arial"/>
              </w:rPr>
              <w:t>o</w:t>
            </w:r>
            <w:r w:rsidRPr="00EF7462">
              <w:rPr>
                <w:rFonts w:cs="Arial"/>
              </w:rPr>
              <w:t>ther related coordination needs</w:t>
            </w:r>
            <w:r w:rsidR="00CA2577">
              <w:rPr>
                <w:rFonts w:cs="Arial"/>
              </w:rPr>
              <w:t>,</w:t>
            </w:r>
          </w:p>
          <w:p w:rsidR="00D27F39" w:rsidRDefault="00D27F39" w:rsidP="00D27F39">
            <w:pPr>
              <w:spacing w:after="0" w:line="240" w:lineRule="auto"/>
              <w:jc w:val="both"/>
              <w:rPr>
                <w:rFonts w:cs="Arial"/>
                <w:spacing w:val="-2"/>
              </w:rPr>
            </w:pPr>
          </w:p>
          <w:p w:rsidR="00637B04" w:rsidRDefault="00EF7462" w:rsidP="00D27F39">
            <w:pPr>
              <w:spacing w:after="0" w:line="240" w:lineRule="auto"/>
              <w:jc w:val="both"/>
              <w:rPr>
                <w:rFonts w:cs="Arial"/>
                <w:spacing w:val="-2"/>
              </w:rPr>
            </w:pPr>
            <w:r>
              <w:rPr>
                <w:rFonts w:cs="Arial"/>
                <w:spacing w:val="-2"/>
              </w:rPr>
              <w:t>with a view to assisting ET-ASC and ET-ISA establish and maintain appropriate work plans and priorities.</w:t>
            </w:r>
          </w:p>
        </w:tc>
      </w:tr>
    </w:tbl>
    <w:p w:rsidR="00E82668" w:rsidRDefault="00E82668" w:rsidP="00E82668">
      <w:pPr>
        <w:suppressAutoHyphens/>
        <w:jc w:val="center"/>
        <w:rPr>
          <w:rFonts w:cs="Arial"/>
        </w:rPr>
      </w:pPr>
    </w:p>
    <w:p w:rsidR="00E82668" w:rsidRDefault="00E82668" w:rsidP="00E82668">
      <w:pPr>
        <w:ind w:left="1440" w:firstLine="720"/>
        <w:rPr>
          <w:rFonts w:cs="Arial"/>
        </w:rPr>
      </w:pPr>
    </w:p>
    <w:p w:rsidR="00E82668" w:rsidRDefault="00E82668" w:rsidP="00E82668">
      <w:pPr>
        <w:jc w:val="center"/>
        <w:rPr>
          <w:rFonts w:cs="Arial"/>
          <w:b/>
          <w:bCs/>
        </w:rPr>
      </w:pPr>
      <w:r>
        <w:rPr>
          <w:rFonts w:cs="Arial"/>
          <w:b/>
          <w:bCs/>
        </w:rPr>
        <w:t>ACTION PROPOSED</w:t>
      </w:r>
    </w:p>
    <w:p w:rsidR="00E82668" w:rsidRDefault="00E82668" w:rsidP="00E82668">
      <w:pPr>
        <w:jc w:val="center"/>
        <w:rPr>
          <w:rFonts w:cs="Arial"/>
        </w:rPr>
      </w:pPr>
    </w:p>
    <w:p w:rsidR="00CA2577" w:rsidRDefault="00CA2577" w:rsidP="00CD6713">
      <w:pPr>
        <w:pStyle w:val="BodyText"/>
        <w:spacing w:line="276" w:lineRule="auto"/>
        <w:ind w:firstLine="720"/>
        <w:rPr>
          <w:rFonts w:ascii="Verdana" w:hAnsi="Verdana"/>
          <w:sz w:val="20"/>
          <w:szCs w:val="20"/>
        </w:rPr>
      </w:pPr>
      <w:r w:rsidRPr="00594CA0">
        <w:rPr>
          <w:rFonts w:ascii="Verdana" w:hAnsi="Verdana"/>
          <w:sz w:val="20"/>
          <w:szCs w:val="20"/>
        </w:rPr>
        <w:t>The meeting is invited to:</w:t>
      </w:r>
    </w:p>
    <w:p w:rsidR="00D27F39" w:rsidRPr="00594CA0" w:rsidRDefault="00D27F39" w:rsidP="00CD6713">
      <w:pPr>
        <w:pStyle w:val="BodyText"/>
        <w:spacing w:line="276" w:lineRule="auto"/>
        <w:ind w:firstLine="720"/>
        <w:rPr>
          <w:rFonts w:ascii="Verdana" w:hAnsi="Verdana"/>
          <w:sz w:val="20"/>
          <w:szCs w:val="20"/>
        </w:rPr>
      </w:pPr>
    </w:p>
    <w:p w:rsidR="00CA2577" w:rsidRDefault="00CA2577" w:rsidP="00D27F39">
      <w:pPr>
        <w:pStyle w:val="BodyText"/>
        <w:numPr>
          <w:ilvl w:val="0"/>
          <w:numId w:val="4"/>
        </w:numPr>
        <w:spacing w:line="276" w:lineRule="auto"/>
        <w:ind w:left="1276" w:hanging="567"/>
        <w:rPr>
          <w:rFonts w:ascii="Verdana" w:hAnsi="Verdana"/>
          <w:sz w:val="20"/>
          <w:szCs w:val="20"/>
        </w:rPr>
      </w:pPr>
      <w:r w:rsidRPr="00594CA0">
        <w:rPr>
          <w:rFonts w:ascii="Verdana" w:hAnsi="Verdana"/>
          <w:sz w:val="20"/>
          <w:szCs w:val="20"/>
        </w:rPr>
        <w:t>note the information contained in this paper</w:t>
      </w:r>
      <w:r>
        <w:rPr>
          <w:rFonts w:ascii="Verdana" w:hAnsi="Verdana"/>
          <w:sz w:val="20"/>
          <w:szCs w:val="20"/>
        </w:rPr>
        <w:t>;</w:t>
      </w:r>
      <w:r w:rsidRPr="00594CA0">
        <w:rPr>
          <w:rFonts w:ascii="Verdana" w:hAnsi="Verdana"/>
          <w:sz w:val="20"/>
          <w:szCs w:val="20"/>
        </w:rPr>
        <w:t xml:space="preserve"> </w:t>
      </w:r>
    </w:p>
    <w:p w:rsidR="00D27F39" w:rsidRPr="00594CA0" w:rsidRDefault="00D27F39" w:rsidP="00D27F39">
      <w:pPr>
        <w:pStyle w:val="BodyText"/>
        <w:spacing w:line="276" w:lineRule="auto"/>
        <w:ind w:left="1276"/>
        <w:rPr>
          <w:rFonts w:ascii="Verdana" w:hAnsi="Verdana"/>
          <w:sz w:val="20"/>
          <w:szCs w:val="20"/>
        </w:rPr>
      </w:pPr>
    </w:p>
    <w:p w:rsidR="00CA2577" w:rsidRPr="00594CA0" w:rsidRDefault="00CA2577" w:rsidP="00D27F39">
      <w:pPr>
        <w:pStyle w:val="BodyText"/>
        <w:numPr>
          <w:ilvl w:val="0"/>
          <w:numId w:val="4"/>
        </w:numPr>
        <w:spacing w:line="276" w:lineRule="auto"/>
        <w:ind w:left="1276" w:hanging="567"/>
        <w:rPr>
          <w:rFonts w:ascii="Verdana" w:hAnsi="Verdana"/>
          <w:sz w:val="20"/>
          <w:szCs w:val="20"/>
        </w:rPr>
      </w:pPr>
      <w:r w:rsidRPr="00594CA0">
        <w:rPr>
          <w:rFonts w:ascii="Verdana" w:hAnsi="Verdana"/>
          <w:sz w:val="20"/>
          <w:szCs w:val="20"/>
        </w:rPr>
        <w:t xml:space="preserve">consider the implications </w:t>
      </w:r>
      <w:r>
        <w:rPr>
          <w:rFonts w:ascii="Verdana" w:hAnsi="Verdana"/>
          <w:sz w:val="20"/>
          <w:szCs w:val="20"/>
        </w:rPr>
        <w:t>of existing and emerging coordination needs o</w:t>
      </w:r>
      <w:r w:rsidRPr="00594CA0">
        <w:rPr>
          <w:rFonts w:ascii="Verdana" w:hAnsi="Verdana"/>
          <w:sz w:val="20"/>
          <w:szCs w:val="20"/>
        </w:rPr>
        <w:t>n the ET-ASC and</w:t>
      </w:r>
      <w:r>
        <w:rPr>
          <w:rFonts w:ascii="Verdana" w:hAnsi="Verdana"/>
          <w:sz w:val="20"/>
          <w:szCs w:val="20"/>
        </w:rPr>
        <w:t>/or</w:t>
      </w:r>
      <w:r w:rsidRPr="00594CA0">
        <w:rPr>
          <w:rFonts w:ascii="Verdana" w:hAnsi="Verdana"/>
          <w:sz w:val="20"/>
          <w:szCs w:val="20"/>
        </w:rPr>
        <w:t xml:space="preserve"> ET-ISA work plans and priorities.</w:t>
      </w:r>
    </w:p>
    <w:p w:rsidR="00637B04" w:rsidRDefault="00637B04" w:rsidP="00637B04">
      <w:pPr>
        <w:pStyle w:val="BodyText"/>
        <w:ind w:firstLine="720"/>
      </w:pPr>
    </w:p>
    <w:p w:rsidR="00E82668" w:rsidRDefault="00E82668" w:rsidP="00E82668">
      <w:pPr>
        <w:pStyle w:val="BlockText"/>
        <w:ind w:hanging="1985"/>
      </w:pPr>
    </w:p>
    <w:p w:rsidR="00E82668" w:rsidRDefault="00D27F39" w:rsidP="00E82668">
      <w:pPr>
        <w:jc w:val="center"/>
        <w:rPr>
          <w:rFonts w:cs="Arial"/>
        </w:rPr>
      </w:pPr>
      <w:r>
        <w:rPr>
          <w:rFonts w:cs="Arial"/>
        </w:rPr>
        <w:t>_____</w:t>
      </w:r>
    </w:p>
    <w:p w:rsidR="00E82668" w:rsidRDefault="00E82668" w:rsidP="00E82668">
      <w:pPr>
        <w:jc w:val="center"/>
        <w:rPr>
          <w:rFonts w:cs="Arial"/>
        </w:rPr>
      </w:pPr>
    </w:p>
    <w:p w:rsidR="005C31E3" w:rsidRDefault="005C31E3" w:rsidP="00320246">
      <w:pPr>
        <w:jc w:val="center"/>
        <w:sectPr w:rsidR="005C31E3" w:rsidSect="009C2463">
          <w:headerReference w:type="default" r:id="rId9"/>
          <w:headerReference w:type="first" r:id="rId10"/>
          <w:pgSz w:w="11907" w:h="16839" w:code="9"/>
          <w:pgMar w:top="1440" w:right="1440" w:bottom="1440" w:left="1134" w:header="708" w:footer="708" w:gutter="0"/>
          <w:cols w:space="708"/>
          <w:titlePg/>
          <w:docGrid w:linePitch="360"/>
        </w:sectPr>
      </w:pPr>
    </w:p>
    <w:p w:rsidR="00EF7462" w:rsidRPr="00720557" w:rsidRDefault="00EF7462" w:rsidP="00D27F39">
      <w:pPr>
        <w:pStyle w:val="ListParagraph"/>
        <w:numPr>
          <w:ilvl w:val="0"/>
          <w:numId w:val="2"/>
        </w:numPr>
        <w:spacing w:after="0" w:line="240" w:lineRule="auto"/>
        <w:ind w:left="0" w:firstLine="0"/>
        <w:jc w:val="both"/>
        <w:rPr>
          <w:b/>
          <w:szCs w:val="20"/>
        </w:rPr>
      </w:pPr>
      <w:r w:rsidRPr="00720557">
        <w:rPr>
          <w:b/>
          <w:szCs w:val="20"/>
        </w:rPr>
        <w:lastRenderedPageBreak/>
        <w:t>EXECUTIVE SUMMARY</w:t>
      </w:r>
      <w:r>
        <w:rPr>
          <w:b/>
          <w:szCs w:val="20"/>
        </w:rPr>
        <w:t xml:space="preserve"> </w:t>
      </w:r>
      <w:r w:rsidRPr="00895429">
        <w:rPr>
          <w:bCs/>
          <w:szCs w:val="20"/>
        </w:rPr>
        <w:t>(to be included in the final report)</w:t>
      </w:r>
    </w:p>
    <w:p w:rsidR="00D27F39" w:rsidRDefault="00D27F39" w:rsidP="00D27F39">
      <w:pPr>
        <w:spacing w:after="0" w:line="240" w:lineRule="auto"/>
        <w:jc w:val="both"/>
      </w:pPr>
    </w:p>
    <w:p w:rsidR="00EF7462" w:rsidRDefault="002234B5" w:rsidP="00D27F39">
      <w:pPr>
        <w:spacing w:after="0" w:line="240" w:lineRule="auto"/>
        <w:jc w:val="both"/>
      </w:pPr>
      <w:r>
        <w:t>1.1</w:t>
      </w:r>
      <w:r>
        <w:tab/>
        <w:t xml:space="preserve">The meeting was informed about the ongoing coordination </w:t>
      </w:r>
      <w:r w:rsidR="005362E2">
        <w:t xml:space="preserve">needs across various ICAO and WMO technical bodies involved in the operation and development of aeronautical meteorological services </w:t>
      </w:r>
      <w:r w:rsidR="00EF6C61">
        <w:t>as well as</w:t>
      </w:r>
      <w:r w:rsidR="005362E2">
        <w:t xml:space="preserve"> </w:t>
      </w:r>
      <w:r w:rsidR="00EF6C61">
        <w:t xml:space="preserve">in aviation environmental </w:t>
      </w:r>
      <w:r w:rsidR="005362E2">
        <w:t>protection</w:t>
      </w:r>
      <w:r w:rsidR="009C7C7B">
        <w:t>, including but not limited to working groups of the ICAO Meteorology Panel such as WG-MIE and expert teams of WMO such as TT-AvXML</w:t>
      </w:r>
      <w:r w:rsidR="005362E2">
        <w:t xml:space="preserve">. </w:t>
      </w:r>
      <w:r w:rsidR="00EF6C61">
        <w:t>I</w:t>
      </w:r>
      <w:r w:rsidR="005362E2">
        <w:t xml:space="preserve">t was appreciated that there </w:t>
      </w:r>
      <w:r w:rsidR="0076083F">
        <w:t>was</w:t>
      </w:r>
      <w:r w:rsidR="005362E2">
        <w:t xml:space="preserve"> much coordination </w:t>
      </w:r>
      <w:r w:rsidR="00EF6C61">
        <w:t>of</w:t>
      </w:r>
      <w:r w:rsidR="005362E2">
        <w:t xml:space="preserve"> the various work streams </w:t>
      </w:r>
      <w:r w:rsidR="00EF6C61">
        <w:t xml:space="preserve">taking place </w:t>
      </w:r>
      <w:r w:rsidR="005362E2">
        <w:t xml:space="preserve">– both within and outside of WMO – and </w:t>
      </w:r>
      <w:r w:rsidR="00EF6C61">
        <w:t xml:space="preserve">that </w:t>
      </w:r>
      <w:r w:rsidR="0076083F" w:rsidRPr="0076083F">
        <w:t xml:space="preserve">the </w:t>
      </w:r>
      <w:r w:rsidR="00EF6C61">
        <w:t>work</w:t>
      </w:r>
      <w:r w:rsidR="0076083F" w:rsidRPr="0076083F">
        <w:t xml:space="preserve"> </w:t>
      </w:r>
      <w:r w:rsidR="0076083F">
        <w:t xml:space="preserve">should </w:t>
      </w:r>
      <w:r w:rsidR="0076083F" w:rsidRPr="0076083F">
        <w:t xml:space="preserve">progress as efficiently and effectively as </w:t>
      </w:r>
      <w:r w:rsidR="00EF6C61">
        <w:t>possible</w:t>
      </w:r>
      <w:r w:rsidR="0076083F" w:rsidRPr="0076083F">
        <w:t xml:space="preserve"> </w:t>
      </w:r>
      <w:r w:rsidR="0076083F">
        <w:t>(</w:t>
      </w:r>
      <w:r w:rsidR="0076083F" w:rsidRPr="0076083F">
        <w:t>given available resources</w:t>
      </w:r>
      <w:r w:rsidR="0076083F">
        <w:t>)</w:t>
      </w:r>
      <w:r w:rsidR="0076083F" w:rsidRPr="0076083F">
        <w:t xml:space="preserve"> </w:t>
      </w:r>
      <w:r w:rsidR="00EF6C61">
        <w:t>with</w:t>
      </w:r>
      <w:r w:rsidR="0076083F" w:rsidRPr="0076083F">
        <w:t xml:space="preserve"> duplication </w:t>
      </w:r>
      <w:r w:rsidR="00DD6313">
        <w:t xml:space="preserve">best </w:t>
      </w:r>
      <w:r w:rsidR="0076083F" w:rsidRPr="0076083F">
        <w:t>avoided</w:t>
      </w:r>
      <w:r w:rsidR="0076083F">
        <w:t>.</w:t>
      </w:r>
    </w:p>
    <w:p w:rsidR="00D27F39" w:rsidRDefault="00D27F39" w:rsidP="00D27F39">
      <w:pPr>
        <w:spacing w:after="0" w:line="240" w:lineRule="auto"/>
        <w:jc w:val="both"/>
      </w:pPr>
    </w:p>
    <w:p w:rsidR="009C7C7B" w:rsidRDefault="009C7C7B" w:rsidP="00D27F39">
      <w:pPr>
        <w:spacing w:after="0" w:line="240" w:lineRule="auto"/>
        <w:jc w:val="both"/>
      </w:pPr>
      <w:r>
        <w:t>1.</w:t>
      </w:r>
      <w:r w:rsidR="00CA2577">
        <w:t>2</w:t>
      </w:r>
      <w:r>
        <w:tab/>
        <w:t>The meeting also acknowledged and appreciated the involvement of several of the ET-ASC and ET-ISA experts in the advancement of the discussion on future IWXXM schema and MET in SWIM as well as assistance to a rolling review of (aeronautical meteorology) requirements in a WIGOS context.</w:t>
      </w:r>
    </w:p>
    <w:p w:rsidR="00D27F39" w:rsidRDefault="00D27F39" w:rsidP="00D27F39">
      <w:pPr>
        <w:spacing w:after="0" w:line="240" w:lineRule="auto"/>
        <w:jc w:val="both"/>
      </w:pPr>
    </w:p>
    <w:p w:rsidR="00CA2577" w:rsidRDefault="00CA2577" w:rsidP="00D27F39">
      <w:pPr>
        <w:spacing w:after="0" w:line="240" w:lineRule="auto"/>
        <w:jc w:val="both"/>
        <w:rPr>
          <w:i/>
          <w:iCs/>
          <w:color w:val="FF0000"/>
        </w:rPr>
      </w:pPr>
      <w:r>
        <w:t>1.3</w:t>
      </w:r>
      <w:r>
        <w:tab/>
      </w:r>
      <w:r w:rsidRPr="00CA2577">
        <w:rPr>
          <w:i/>
          <w:iCs/>
          <w:color w:val="FF0000"/>
        </w:rPr>
        <w:t>&lt;Additional text to be developed based on the discussions&gt;</w:t>
      </w:r>
    </w:p>
    <w:p w:rsidR="00D27F39" w:rsidRDefault="00D27F39" w:rsidP="00D27F39">
      <w:pPr>
        <w:spacing w:after="0" w:line="240" w:lineRule="auto"/>
        <w:jc w:val="both"/>
      </w:pPr>
    </w:p>
    <w:p w:rsidR="00EF7462" w:rsidRPr="00895429" w:rsidRDefault="00227491" w:rsidP="00D27F39">
      <w:pPr>
        <w:pStyle w:val="ListParagraph"/>
        <w:numPr>
          <w:ilvl w:val="0"/>
          <w:numId w:val="2"/>
        </w:numPr>
        <w:spacing w:after="0" w:line="240" w:lineRule="auto"/>
        <w:ind w:left="0" w:firstLine="0"/>
        <w:jc w:val="both"/>
        <w:rPr>
          <w:bCs/>
          <w:szCs w:val="20"/>
        </w:rPr>
      </w:pPr>
      <w:r>
        <w:rPr>
          <w:b/>
          <w:szCs w:val="20"/>
        </w:rPr>
        <w:t>DISCUSSION</w:t>
      </w:r>
    </w:p>
    <w:p w:rsidR="00D27F39" w:rsidRDefault="00D27F39" w:rsidP="00D27F39">
      <w:pPr>
        <w:spacing w:after="0" w:line="240" w:lineRule="auto"/>
        <w:jc w:val="both"/>
        <w:rPr>
          <w:b/>
          <w:bCs/>
        </w:rPr>
      </w:pPr>
    </w:p>
    <w:p w:rsidR="00EF7462" w:rsidRPr="00232B3C" w:rsidRDefault="00EF7462" w:rsidP="00D27F39">
      <w:pPr>
        <w:spacing w:after="0" w:line="240" w:lineRule="auto"/>
        <w:jc w:val="both"/>
        <w:rPr>
          <w:b/>
          <w:bCs/>
        </w:rPr>
      </w:pPr>
      <w:r w:rsidRPr="00232B3C">
        <w:rPr>
          <w:b/>
          <w:bCs/>
        </w:rPr>
        <w:t>2.1</w:t>
      </w:r>
      <w:r w:rsidRPr="00232B3C">
        <w:rPr>
          <w:b/>
          <w:bCs/>
        </w:rPr>
        <w:tab/>
      </w:r>
      <w:r w:rsidR="00232B3C" w:rsidRPr="00232B3C">
        <w:rPr>
          <w:b/>
          <w:bCs/>
        </w:rPr>
        <w:t>Coordination with ICAO METP, its working groups and other relevant ICAO bodies</w:t>
      </w:r>
    </w:p>
    <w:p w:rsidR="00D27F39" w:rsidRDefault="00D27F39" w:rsidP="00D27F39">
      <w:pPr>
        <w:spacing w:after="0" w:line="240" w:lineRule="auto"/>
        <w:jc w:val="both"/>
      </w:pPr>
    </w:p>
    <w:p w:rsidR="00D24E98" w:rsidRDefault="00232B3C" w:rsidP="00D27F39">
      <w:pPr>
        <w:spacing w:after="0" w:line="240" w:lineRule="auto"/>
        <w:jc w:val="both"/>
      </w:pPr>
      <w:r>
        <w:t>2.1.1</w:t>
      </w:r>
      <w:r w:rsidR="00EF7462">
        <w:tab/>
      </w:r>
      <w:r w:rsidR="00F250C1">
        <w:t xml:space="preserve">Many of activities of ET-ASC and ET-ISA have links with several technical bodies of ICAO at the global level, including the Committee on Aviation Environmental Protection (CAEP), the Meteorology Panel (METP) and its working groups on meteorological requirements and integration (WG-MRI), meteorological information and service development (WG-MISD), meteorological information exchange (WG-MIE) and meteorological operational groups (WG-MOG). </w:t>
      </w:r>
      <w:r w:rsidR="00D24E98">
        <w:t>There are synergies also with</w:t>
      </w:r>
      <w:r w:rsidR="00EF6C61">
        <w:t xml:space="preserve">, in particular, </w:t>
      </w:r>
      <w:r w:rsidR="00D24E98">
        <w:t xml:space="preserve"> the work of the Information Management Panel (IMP) and Air Traffic Management Requirements and Performance Panel (ATMRPP).</w:t>
      </w:r>
    </w:p>
    <w:p w:rsidR="00D27F39" w:rsidRDefault="00D27F39" w:rsidP="00D27F39">
      <w:pPr>
        <w:spacing w:after="0" w:line="240" w:lineRule="auto"/>
        <w:jc w:val="both"/>
      </w:pPr>
    </w:p>
    <w:p w:rsidR="00EF7462" w:rsidRDefault="00D24E98" w:rsidP="00D27F39">
      <w:pPr>
        <w:spacing w:after="0" w:line="240" w:lineRule="auto"/>
        <w:jc w:val="both"/>
      </w:pPr>
      <w:r>
        <w:t>2.1.2</w:t>
      </w:r>
      <w:r>
        <w:tab/>
      </w:r>
      <w:r w:rsidR="00F250C1">
        <w:t xml:space="preserve">Experts involved in </w:t>
      </w:r>
      <w:r>
        <w:t>ET-ASC and ET-ISA</w:t>
      </w:r>
      <w:r w:rsidR="00F250C1">
        <w:t xml:space="preserve"> </w:t>
      </w:r>
      <w:r>
        <w:t xml:space="preserve">continue to </w:t>
      </w:r>
      <w:r w:rsidR="00F250C1">
        <w:t xml:space="preserve">directly </w:t>
      </w:r>
      <w:r>
        <w:t xml:space="preserve">or indirectly </w:t>
      </w:r>
      <w:r w:rsidR="00F250C1">
        <w:t xml:space="preserve">contribute to the work of </w:t>
      </w:r>
      <w:r>
        <w:t>these ICAO bodies</w:t>
      </w:r>
      <w:r w:rsidR="00EF6C61">
        <w:t xml:space="preserve">, including through </w:t>
      </w:r>
      <w:r w:rsidR="00CC50CB">
        <w:t xml:space="preserve">the development of working </w:t>
      </w:r>
      <w:r w:rsidR="009C7C7B">
        <w:t>d</w:t>
      </w:r>
      <w:r w:rsidR="00CC50CB">
        <w:t>ocumentation and supporting materials, attendance at meetings and involvement on teleconferences</w:t>
      </w:r>
      <w:r w:rsidR="00F250C1">
        <w:t xml:space="preserve">. </w:t>
      </w:r>
    </w:p>
    <w:p w:rsidR="00D27F39" w:rsidRDefault="00D27F39" w:rsidP="00D27F39">
      <w:pPr>
        <w:spacing w:after="0" w:line="240" w:lineRule="auto"/>
        <w:jc w:val="both"/>
      </w:pPr>
    </w:p>
    <w:p w:rsidR="00CC50CB" w:rsidRDefault="00CC50CB" w:rsidP="00D27F39">
      <w:pPr>
        <w:spacing w:after="0" w:line="240" w:lineRule="auto"/>
        <w:jc w:val="both"/>
      </w:pPr>
      <w:r>
        <w:t>2.1.3</w:t>
      </w:r>
      <w:r>
        <w:tab/>
      </w:r>
      <w:r w:rsidR="002C4A69">
        <w:t>In July 2017</w:t>
      </w:r>
      <w:r w:rsidR="00D27F39">
        <w:t>,</w:t>
      </w:r>
      <w:r>
        <w:t xml:space="preserve"> there will be a series of METP working group meetings held back-to-back in Montreal</w:t>
      </w:r>
      <w:r w:rsidR="009C7C7B">
        <w:t>, Canada</w:t>
      </w:r>
      <w:r>
        <w:t xml:space="preserve">. WG-MIE, WG-MRI and WG-MISD </w:t>
      </w:r>
      <w:r w:rsidR="004F057C">
        <w:t xml:space="preserve">will all convene </w:t>
      </w:r>
      <w:r w:rsidR="002C4A69">
        <w:t xml:space="preserve">consecutively from 10 to 19 July 2017 </w:t>
      </w:r>
      <w:r w:rsidR="004F057C">
        <w:t xml:space="preserve">to address the matters within their respective work programmes. </w:t>
      </w:r>
      <w:r w:rsidR="009C7C7B">
        <w:t>M</w:t>
      </w:r>
      <w:r w:rsidR="004F057C">
        <w:t>eetings of the METP AG-MCRGG and Management Group will also be held</w:t>
      </w:r>
      <w:r w:rsidR="002C4A69">
        <w:t xml:space="preserve"> on 20 July 2017 at the same location</w:t>
      </w:r>
      <w:r w:rsidR="009C7C7B">
        <w:t>.</w:t>
      </w:r>
      <w:r w:rsidR="004F057C">
        <w:t xml:space="preserve"> </w:t>
      </w:r>
    </w:p>
    <w:p w:rsidR="00D27F39" w:rsidRDefault="00D27F39" w:rsidP="00D27F39">
      <w:pPr>
        <w:spacing w:after="0" w:line="240" w:lineRule="auto"/>
        <w:jc w:val="both"/>
      </w:pPr>
    </w:p>
    <w:p w:rsidR="00EF6C61" w:rsidRDefault="00EF6C61" w:rsidP="00D27F39">
      <w:pPr>
        <w:spacing w:after="0" w:line="240" w:lineRule="auto"/>
        <w:jc w:val="both"/>
      </w:pPr>
      <w:r>
        <w:t>2.1.4</w:t>
      </w:r>
      <w:r>
        <w:tab/>
      </w:r>
      <w:r w:rsidR="005158FA">
        <w:t>As alluded to in Doc. 3, o</w:t>
      </w:r>
      <w:r w:rsidR="005158FA" w:rsidRPr="005158FA">
        <w:t xml:space="preserve">ne of the ET-ISA co-chairs is involved in </w:t>
      </w:r>
      <w:r w:rsidR="005158FA">
        <w:t>an</w:t>
      </w:r>
      <w:r w:rsidR="005158FA" w:rsidRPr="005158FA">
        <w:t xml:space="preserve"> ICAO ASBU Panel Project Team (ASBU PPT)</w:t>
      </w:r>
      <w:r w:rsidR="005158FA">
        <w:t xml:space="preserve">. This team </w:t>
      </w:r>
      <w:r w:rsidR="005158FA" w:rsidRPr="005158FA">
        <w:t xml:space="preserve">is in charge of reviewing the Aviation System Block Upgrade </w:t>
      </w:r>
      <w:r w:rsidR="005158FA">
        <w:t xml:space="preserve">(ASBU) </w:t>
      </w:r>
      <w:r w:rsidR="005158FA" w:rsidRPr="005158FA">
        <w:t xml:space="preserve">framework, within the </w:t>
      </w:r>
      <w:r w:rsidR="005158FA">
        <w:t>g</w:t>
      </w:r>
      <w:r w:rsidR="005158FA" w:rsidRPr="005158FA">
        <w:t xml:space="preserve">lobal </w:t>
      </w:r>
      <w:r w:rsidR="005158FA">
        <w:t>t</w:t>
      </w:r>
      <w:r w:rsidR="005158FA" w:rsidRPr="005158FA">
        <w:t xml:space="preserve">echnical </w:t>
      </w:r>
      <w:r w:rsidR="005158FA">
        <w:t>l</w:t>
      </w:r>
      <w:r w:rsidR="005158FA" w:rsidRPr="005158FA">
        <w:t xml:space="preserve">evel of the GANP, to make it a useful framework for all aviation stakeholders to enhance their air navigation capabilities based on their specific requirements and operational scenarios. This involvement </w:t>
      </w:r>
      <w:r w:rsidR="005158FA">
        <w:t xml:space="preserve">includes attendance at meetings – both </w:t>
      </w:r>
      <w:r w:rsidR="005158FA" w:rsidRPr="005158FA">
        <w:t>virtual (web-conference) and face-to-face</w:t>
      </w:r>
      <w:r w:rsidR="005158FA">
        <w:t xml:space="preserve"> – and  the </w:t>
      </w:r>
      <w:r w:rsidR="005158FA" w:rsidRPr="005158FA">
        <w:t xml:space="preserve">development of working documentation. </w:t>
      </w:r>
    </w:p>
    <w:p w:rsidR="009C7C7B" w:rsidRDefault="009C7C7B" w:rsidP="00D27F39">
      <w:pPr>
        <w:spacing w:after="0" w:line="240" w:lineRule="auto"/>
        <w:jc w:val="both"/>
      </w:pPr>
    </w:p>
    <w:p w:rsidR="00232B3C" w:rsidRPr="00232B3C" w:rsidRDefault="00232B3C" w:rsidP="00D27F39">
      <w:pPr>
        <w:spacing w:after="0" w:line="240" w:lineRule="auto"/>
        <w:jc w:val="both"/>
        <w:rPr>
          <w:b/>
          <w:bCs/>
        </w:rPr>
      </w:pPr>
      <w:r w:rsidRPr="00232B3C">
        <w:rPr>
          <w:b/>
          <w:bCs/>
        </w:rPr>
        <w:t>2.2</w:t>
      </w:r>
      <w:r w:rsidRPr="00232B3C">
        <w:rPr>
          <w:b/>
          <w:bCs/>
        </w:rPr>
        <w:tab/>
        <w:t>Coordination with other WMO expert teams/bodies</w:t>
      </w:r>
    </w:p>
    <w:p w:rsidR="00D27F39" w:rsidRDefault="00D27F39" w:rsidP="00D27F39">
      <w:pPr>
        <w:spacing w:after="0" w:line="240" w:lineRule="auto"/>
        <w:jc w:val="both"/>
      </w:pPr>
    </w:p>
    <w:p w:rsidR="00EF7462" w:rsidRDefault="00CC50CB" w:rsidP="00D27F39">
      <w:pPr>
        <w:spacing w:after="0" w:line="240" w:lineRule="auto"/>
        <w:jc w:val="both"/>
      </w:pPr>
      <w:r>
        <w:t>2.2.1</w:t>
      </w:r>
      <w:r>
        <w:tab/>
        <w:t xml:space="preserve">Similar with the foregoing, many of activities of ET-ASC and ET-ISA </w:t>
      </w:r>
      <w:r w:rsidR="004F057C">
        <w:t xml:space="preserve">also </w:t>
      </w:r>
      <w:r>
        <w:t xml:space="preserve">have links with several </w:t>
      </w:r>
      <w:r w:rsidR="004F057C">
        <w:t xml:space="preserve">other technical bodies of WMO at the global level, including the Task Team on Aviation XML (TT-AvXML) and the Inter-Commission Task Team on the WMO Information System (ICTT-WIS). </w:t>
      </w:r>
    </w:p>
    <w:p w:rsidR="00232B3C" w:rsidRDefault="005B7425" w:rsidP="00D27F39">
      <w:pPr>
        <w:spacing w:after="0" w:line="240" w:lineRule="auto"/>
        <w:jc w:val="both"/>
      </w:pPr>
      <w:r>
        <w:lastRenderedPageBreak/>
        <w:t>2.2.2</w:t>
      </w:r>
      <w:r>
        <w:tab/>
        <w:t>It is worthwhile to note also that work of TT-AvXML has synergies with the work of WG-MIE in the context of the development of the IWXXM schema and that the work of ICTT-WIS has or will have synergies with the work of the IMP in the context of</w:t>
      </w:r>
      <w:r w:rsidRPr="005B7425">
        <w:t xml:space="preserve"> </w:t>
      </w:r>
      <w:r>
        <w:t xml:space="preserve">the development of and interoperability between </w:t>
      </w:r>
      <w:r w:rsidR="00EF6C61">
        <w:t xml:space="preserve">the </w:t>
      </w:r>
      <w:r>
        <w:t>WIS and SWIM environment</w:t>
      </w:r>
      <w:r w:rsidR="00EF6C61">
        <w:t>s</w:t>
      </w:r>
      <w:r>
        <w:t>.</w:t>
      </w:r>
    </w:p>
    <w:p w:rsidR="00D27F39" w:rsidRDefault="00D27F39" w:rsidP="00D27F39">
      <w:pPr>
        <w:spacing w:after="0" w:line="240" w:lineRule="auto"/>
        <w:jc w:val="both"/>
        <w:rPr>
          <w:b/>
          <w:bCs/>
        </w:rPr>
      </w:pPr>
    </w:p>
    <w:p w:rsidR="00232B3C" w:rsidRPr="00232B3C" w:rsidRDefault="00232B3C" w:rsidP="00D27F39">
      <w:pPr>
        <w:spacing w:after="0" w:line="240" w:lineRule="auto"/>
        <w:jc w:val="both"/>
        <w:rPr>
          <w:rFonts w:cs="Arial"/>
          <w:b/>
          <w:bCs/>
        </w:rPr>
      </w:pPr>
      <w:r w:rsidRPr="00232B3C">
        <w:rPr>
          <w:b/>
          <w:bCs/>
        </w:rPr>
        <w:t>2.3</w:t>
      </w:r>
      <w:r w:rsidRPr="00232B3C">
        <w:rPr>
          <w:b/>
          <w:bCs/>
        </w:rPr>
        <w:tab/>
      </w:r>
      <w:r>
        <w:rPr>
          <w:rFonts w:cs="Arial"/>
          <w:b/>
          <w:bCs/>
        </w:rPr>
        <w:t>O</w:t>
      </w:r>
      <w:r w:rsidRPr="00232B3C">
        <w:rPr>
          <w:rFonts w:cs="Arial"/>
          <w:b/>
          <w:bCs/>
        </w:rPr>
        <w:t>ther related coordination needs</w:t>
      </w:r>
    </w:p>
    <w:p w:rsidR="00D27F39" w:rsidRDefault="00D27F39" w:rsidP="00D27F39">
      <w:pPr>
        <w:tabs>
          <w:tab w:val="left" w:pos="720"/>
          <w:tab w:val="left" w:pos="1440"/>
        </w:tabs>
        <w:spacing w:after="0" w:line="240" w:lineRule="auto"/>
        <w:jc w:val="both"/>
        <w:rPr>
          <w:b/>
          <w:bCs/>
          <w:i/>
          <w:iCs/>
        </w:rPr>
      </w:pPr>
    </w:p>
    <w:p w:rsidR="00995F1E" w:rsidRPr="00995F1E" w:rsidRDefault="00995F1E" w:rsidP="00D27F39">
      <w:pPr>
        <w:tabs>
          <w:tab w:val="left" w:pos="720"/>
          <w:tab w:val="left" w:pos="1440"/>
        </w:tabs>
        <w:spacing w:after="0" w:line="240" w:lineRule="auto"/>
        <w:jc w:val="both"/>
        <w:rPr>
          <w:b/>
          <w:bCs/>
          <w:i/>
          <w:iCs/>
        </w:rPr>
      </w:pPr>
      <w:r>
        <w:rPr>
          <w:b/>
          <w:bCs/>
          <w:i/>
          <w:iCs/>
        </w:rPr>
        <w:t xml:space="preserve">IWXXM developments and </w:t>
      </w:r>
      <w:r w:rsidRPr="00995F1E">
        <w:rPr>
          <w:b/>
          <w:bCs/>
          <w:i/>
          <w:iCs/>
        </w:rPr>
        <w:t>MET in SWIM</w:t>
      </w:r>
    </w:p>
    <w:p w:rsidR="00D27F39" w:rsidRDefault="00D27F39" w:rsidP="00D27F39">
      <w:pPr>
        <w:tabs>
          <w:tab w:val="left" w:pos="720"/>
          <w:tab w:val="left" w:pos="1440"/>
        </w:tabs>
        <w:spacing w:after="0" w:line="240" w:lineRule="auto"/>
        <w:jc w:val="both"/>
      </w:pPr>
    </w:p>
    <w:p w:rsidR="00906FDA" w:rsidRDefault="002234B5" w:rsidP="00D27F39">
      <w:pPr>
        <w:tabs>
          <w:tab w:val="left" w:pos="720"/>
          <w:tab w:val="left" w:pos="1440"/>
        </w:tabs>
        <w:spacing w:after="0" w:line="240" w:lineRule="auto"/>
        <w:jc w:val="both"/>
      </w:pPr>
      <w:r>
        <w:t>2.3.1</w:t>
      </w:r>
      <w:r>
        <w:tab/>
      </w:r>
      <w:r w:rsidR="00906FDA" w:rsidRPr="00906FDA">
        <w:t>At present, several corresponding activities are being undertaken by ICAO</w:t>
      </w:r>
      <w:r w:rsidR="00906FDA">
        <w:t xml:space="preserve"> and WMO</w:t>
      </w:r>
      <w:r w:rsidR="00906FDA" w:rsidRPr="00906FDA">
        <w:t xml:space="preserve"> to foster the transition to the new ‘digital era’</w:t>
      </w:r>
      <w:r w:rsidR="00906FDA">
        <w:t>. For example, the ICAO EUR/NAT Office is convening an IWXXM implementation workshop in Paris, France from 17 to 18 May 2017 while WMO is similarly convening a workshop on the implementation of IWXXM for the exchange of OPMET data in Hong Kong, China from 10 to 12 October 2017. P</w:t>
      </w:r>
      <w:r w:rsidR="00906FDA" w:rsidRPr="00906FDA">
        <w:t xml:space="preserve">redominantly these </w:t>
      </w:r>
      <w:r w:rsidR="00906FDA">
        <w:t xml:space="preserve">implementation support </w:t>
      </w:r>
      <w:r w:rsidR="00906FDA" w:rsidRPr="00906FDA">
        <w:t>efforts focus on the translation of pre-existing OPMET information from TAC into IWXXM-compliant XML/GML</w:t>
      </w:r>
      <w:r w:rsidR="00906FDA">
        <w:t xml:space="preserve"> </w:t>
      </w:r>
      <w:r w:rsidR="00906FDA" w:rsidRPr="00906FDA">
        <w:t>– in other words, mimicking traditional OPMET data exchange practices and a product-centric approach – rather than anything more radical or forward-leaning such as the data- or information-centric approach to support global ATM through, for example, the utilization of TCP/IP in OPMET data exchanges via OGC web services (WCS, WFS, WMS)</w:t>
      </w:r>
      <w:r w:rsidR="00906FDA">
        <w:t xml:space="preserve">. </w:t>
      </w:r>
    </w:p>
    <w:p w:rsidR="00D27F39" w:rsidRDefault="00D27F39" w:rsidP="00D27F39">
      <w:pPr>
        <w:spacing w:after="0" w:line="240" w:lineRule="auto"/>
        <w:jc w:val="both"/>
      </w:pPr>
    </w:p>
    <w:p w:rsidR="00995F1E" w:rsidRDefault="00906FDA" w:rsidP="00D27F39">
      <w:pPr>
        <w:spacing w:after="0" w:line="240" w:lineRule="auto"/>
        <w:jc w:val="both"/>
      </w:pPr>
      <w:r>
        <w:t>2.3.2</w:t>
      </w:r>
      <w:r>
        <w:tab/>
      </w:r>
      <w:r w:rsidR="00B3191A">
        <w:t>W</w:t>
      </w:r>
      <w:r w:rsidR="00995F1E">
        <w:t>ith a focus</w:t>
      </w:r>
      <w:r w:rsidRPr="00906FDA">
        <w:t xml:space="preserve"> on the translation of pre-existing product-types, the continued development and implementation of IWXXM could become increasingly expensive, inefficient and ultimately unsustainable – particularly but not exclusively as the meteorological ‘product set’ expands and where traditional cost recovery/business models continue to be applied. Further, the current approach may never realize the true potential of meteorological service for international air navigation in the future SWIM-enabled environment of global ATM. The need, therefore, for a clearer strategy on future digital data/information exchange is considered essential and will become urgent given ICAO’s continuing intentions to upgrade existing requirements and introduce new requirements for the exchange of meteorological information in digital form in the 2018 to 2020 timeframe</w:t>
      </w:r>
      <w:r w:rsidR="00995F1E">
        <w:t xml:space="preserve">. </w:t>
      </w:r>
    </w:p>
    <w:p w:rsidR="00D27F39" w:rsidRDefault="00D27F39" w:rsidP="00D27F39">
      <w:pPr>
        <w:spacing w:after="0" w:line="240" w:lineRule="auto"/>
        <w:jc w:val="both"/>
      </w:pPr>
    </w:p>
    <w:p w:rsidR="00906FDA" w:rsidRDefault="00906FDA" w:rsidP="00D27F39">
      <w:pPr>
        <w:spacing w:after="0" w:line="240" w:lineRule="auto"/>
        <w:jc w:val="both"/>
      </w:pPr>
      <w:r>
        <w:t>2.3.3</w:t>
      </w:r>
      <w:r>
        <w:tab/>
      </w:r>
      <w:r w:rsidR="00995F1E">
        <w:t xml:space="preserve">In this connection, several IWXXM experts are leading the development of a study note (or similar) for the upcoming ICAO METP WG-MIE meeting in Montreal (see </w:t>
      </w:r>
      <w:r w:rsidR="00995F1E" w:rsidRPr="00CA2577">
        <w:t>2.1.3</w:t>
      </w:r>
      <w:r w:rsidR="00995F1E">
        <w:t xml:space="preserve">) which seeks to highlight these and other related issues as seen from the experts perspective. </w:t>
      </w:r>
    </w:p>
    <w:p w:rsidR="00D27F39" w:rsidRDefault="00D27F39" w:rsidP="00D27F39">
      <w:pPr>
        <w:spacing w:after="0" w:line="240" w:lineRule="auto"/>
        <w:jc w:val="both"/>
        <w:rPr>
          <w:b/>
          <w:bCs/>
          <w:i/>
          <w:iCs/>
        </w:rPr>
      </w:pPr>
    </w:p>
    <w:p w:rsidR="00995F1E" w:rsidRPr="00995F1E" w:rsidRDefault="00995F1E" w:rsidP="00D27F39">
      <w:pPr>
        <w:spacing w:after="0" w:line="240" w:lineRule="auto"/>
        <w:jc w:val="both"/>
        <w:rPr>
          <w:b/>
          <w:bCs/>
          <w:i/>
          <w:iCs/>
        </w:rPr>
      </w:pPr>
      <w:r w:rsidRPr="00995F1E">
        <w:rPr>
          <w:b/>
          <w:bCs/>
          <w:i/>
          <w:iCs/>
        </w:rPr>
        <w:t>Rolling review of requirements</w:t>
      </w:r>
    </w:p>
    <w:p w:rsidR="00D27F39" w:rsidRDefault="00D27F39" w:rsidP="00D27F39">
      <w:pPr>
        <w:spacing w:after="0" w:line="240" w:lineRule="auto"/>
        <w:jc w:val="both"/>
      </w:pPr>
    </w:p>
    <w:p w:rsidR="00906FDA" w:rsidRDefault="00906FDA" w:rsidP="00D27F39">
      <w:pPr>
        <w:spacing w:after="0" w:line="240" w:lineRule="auto"/>
        <w:jc w:val="both"/>
      </w:pPr>
      <w:r>
        <w:t>2.3.4</w:t>
      </w:r>
      <w:r>
        <w:tab/>
      </w:r>
      <w:r w:rsidR="00995F1E">
        <w:t>In support of the continuous evolution of the WMO Integrated Global Observing System (WIGOS) and its components, a Statement of Guidance for Aeronautical Meteorology (</w:t>
      </w:r>
      <w:hyperlink r:id="rId11" w:history="1">
        <w:r w:rsidR="00995F1E" w:rsidRPr="00CD7FA2">
          <w:rPr>
            <w:rStyle w:val="Hyperlink"/>
          </w:rPr>
          <w:t>availabl</w:t>
        </w:r>
        <w:r w:rsidR="00995F1E" w:rsidRPr="00CD7FA2">
          <w:rPr>
            <w:rStyle w:val="Hyperlink"/>
          </w:rPr>
          <w:t>e</w:t>
        </w:r>
        <w:r w:rsidR="00995F1E" w:rsidRPr="00CD7FA2">
          <w:rPr>
            <w:rStyle w:val="Hyperlink"/>
          </w:rPr>
          <w:t xml:space="preserve"> here</w:t>
        </w:r>
      </w:hyperlink>
      <w:r w:rsidR="00995F1E">
        <w:t xml:space="preserve">) </w:t>
      </w:r>
      <w:r w:rsidR="00CD7FA2">
        <w:t>is undergoing review. The SOG was</w:t>
      </w:r>
      <w:r w:rsidR="00D27F39">
        <w:t xml:space="preserve"> prepared by</w:t>
      </w:r>
      <w:r w:rsidR="00D27F39">
        <w:br/>
      </w:r>
      <w:r w:rsidR="00CD7FA2">
        <w:t xml:space="preserve">Dr </w:t>
      </w:r>
      <w:proofErr w:type="spellStart"/>
      <w:r w:rsidR="00995F1E">
        <w:t>Jitze</w:t>
      </w:r>
      <w:proofErr w:type="spellEnd"/>
      <w:r w:rsidR="00995F1E">
        <w:t xml:space="preserve"> van der Meulen (</w:t>
      </w:r>
      <w:r w:rsidR="009C7C7B">
        <w:t xml:space="preserve">the </w:t>
      </w:r>
      <w:r w:rsidR="00995F1E">
        <w:t xml:space="preserve">Netherlands) on behalf of CAeM for the </w:t>
      </w:r>
      <w:r w:rsidR="002C4A69">
        <w:t xml:space="preserve">CBS </w:t>
      </w:r>
      <w:r w:rsidR="00995F1E">
        <w:t>IPET-OSDE</w:t>
      </w:r>
      <w:r w:rsidR="002C4A69">
        <w:t xml:space="preserve"> (</w:t>
      </w:r>
      <w:r w:rsidR="002C4A69" w:rsidRPr="002C4A69">
        <w:t>Inter-Programme Expert Team on Observing System Design and Evolution</w:t>
      </w:r>
      <w:r w:rsidR="002C4A69">
        <w:t>)</w:t>
      </w:r>
      <w:r w:rsidR="00CD7FA2">
        <w:t>.</w:t>
      </w:r>
    </w:p>
    <w:p w:rsidR="00D27F39" w:rsidRDefault="00D27F39" w:rsidP="00D27F39">
      <w:pPr>
        <w:spacing w:after="0" w:line="240" w:lineRule="auto"/>
        <w:jc w:val="both"/>
      </w:pPr>
    </w:p>
    <w:p w:rsidR="00906FDA" w:rsidRDefault="00906FDA" w:rsidP="00D27F39">
      <w:pPr>
        <w:spacing w:after="0" w:line="240" w:lineRule="auto"/>
        <w:jc w:val="both"/>
      </w:pPr>
      <w:r>
        <w:t>2.3.5</w:t>
      </w:r>
      <w:r>
        <w:tab/>
      </w:r>
      <w:r w:rsidR="00CD7FA2">
        <w:t xml:space="preserve">The Statement of Guidance presently covers aspects including local observations at aerodromes, in-situ observations by aircraft, and the further development of requirements for observations and forecasts. Several experts from </w:t>
      </w:r>
      <w:r w:rsidR="00D27F39">
        <w:t>ET-ASC and ET-ISA are assisting</w:t>
      </w:r>
      <w:r w:rsidR="00D27F39">
        <w:br/>
      </w:r>
      <w:r w:rsidR="00CD7FA2">
        <w:t xml:space="preserve">Dr van der </w:t>
      </w:r>
      <w:proofErr w:type="spellStart"/>
      <w:r w:rsidR="00CD7FA2">
        <w:t>Meulen</w:t>
      </w:r>
      <w:proofErr w:type="spellEnd"/>
      <w:r w:rsidR="00CD7FA2">
        <w:t xml:space="preserve"> review and update the Statement of Guidance. </w:t>
      </w:r>
      <w:r w:rsidR="002C4A69">
        <w:t>T</w:t>
      </w:r>
      <w:r w:rsidR="00CD7FA2">
        <w:t>he Statement of Guidance will be a living document, available online (</w:t>
      </w:r>
      <w:r w:rsidR="002C4A69">
        <w:t xml:space="preserve">via </w:t>
      </w:r>
      <w:hyperlink r:id="rId12" w:history="1">
        <w:r w:rsidR="00CD7FA2" w:rsidRPr="00CD7FA2">
          <w:rPr>
            <w:rStyle w:val="Hyperlink"/>
          </w:rPr>
          <w:t>h</w:t>
        </w:r>
        <w:r w:rsidR="00CD7FA2" w:rsidRPr="00CD7FA2">
          <w:rPr>
            <w:rStyle w:val="Hyperlink"/>
          </w:rPr>
          <w:t>e</w:t>
        </w:r>
        <w:r w:rsidR="00CD7FA2" w:rsidRPr="00CD7FA2">
          <w:rPr>
            <w:rStyle w:val="Hyperlink"/>
          </w:rPr>
          <w:t>re</w:t>
        </w:r>
      </w:hyperlink>
      <w:r w:rsidR="00CD7FA2">
        <w:t xml:space="preserve">), serving to inform </w:t>
      </w:r>
      <w:r w:rsidR="002C4A69">
        <w:t xml:space="preserve">all concerned </w:t>
      </w:r>
      <w:r w:rsidR="00CD7FA2">
        <w:t>of the state-of-the-art</w:t>
      </w:r>
      <w:r w:rsidR="002C4A69">
        <w:t xml:space="preserve"> </w:t>
      </w:r>
      <w:r w:rsidR="00557E14">
        <w:t xml:space="preserve">observing system </w:t>
      </w:r>
      <w:r w:rsidR="002C4A69">
        <w:t>capabilities</w:t>
      </w:r>
      <w:r w:rsidR="00557E14">
        <w:t>, both current and future</w:t>
      </w:r>
      <w:r w:rsidR="00CD7FA2">
        <w:t xml:space="preserve">. </w:t>
      </w:r>
    </w:p>
    <w:p w:rsidR="005C31E3" w:rsidRDefault="005C31E3" w:rsidP="00D27F39">
      <w:pPr>
        <w:spacing w:after="0" w:line="240" w:lineRule="auto"/>
        <w:jc w:val="both"/>
        <w:rPr>
          <w:b/>
          <w:bCs/>
        </w:rPr>
      </w:pPr>
    </w:p>
    <w:p w:rsidR="00CA2577" w:rsidRDefault="00D27F39" w:rsidP="00D27F39">
      <w:pPr>
        <w:spacing w:after="0" w:line="240" w:lineRule="auto"/>
        <w:jc w:val="center"/>
      </w:pPr>
      <w:r>
        <w:t>_____</w:t>
      </w:r>
    </w:p>
    <w:p w:rsidR="00D27F39" w:rsidRPr="00D27F39" w:rsidRDefault="00D27F39" w:rsidP="00D27F39">
      <w:pPr>
        <w:spacing w:after="0" w:line="240" w:lineRule="auto"/>
        <w:jc w:val="center"/>
      </w:pPr>
    </w:p>
    <w:p w:rsidR="005C31E3" w:rsidRDefault="005C31E3" w:rsidP="005C31E3">
      <w:bookmarkStart w:id="0" w:name="_GoBack"/>
      <w:bookmarkEnd w:id="0"/>
    </w:p>
    <w:p w:rsidR="005C31E3" w:rsidRDefault="005C31E3" w:rsidP="005C31E3"/>
    <w:sectPr w:rsidR="005C31E3" w:rsidSect="009C2463">
      <w:headerReference w:type="first" r:id="rId13"/>
      <w:pgSz w:w="11907" w:h="16839" w:code="9"/>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F7" w:rsidRDefault="00AB18F7" w:rsidP="003E2ED3">
      <w:pPr>
        <w:spacing w:after="0" w:line="240" w:lineRule="auto"/>
      </w:pPr>
      <w:r>
        <w:separator/>
      </w:r>
    </w:p>
  </w:endnote>
  <w:endnote w:type="continuationSeparator" w:id="0">
    <w:p w:rsidR="00AB18F7" w:rsidRDefault="00AB18F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F7" w:rsidRDefault="00AB18F7" w:rsidP="003E2ED3">
      <w:pPr>
        <w:spacing w:after="0" w:line="240" w:lineRule="auto"/>
      </w:pPr>
      <w:r>
        <w:separator/>
      </w:r>
    </w:p>
  </w:footnote>
  <w:footnote w:type="continuationSeparator" w:id="0">
    <w:p w:rsidR="00AB18F7" w:rsidRDefault="00AB18F7"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DC" w:rsidRPr="00FA29DC" w:rsidRDefault="00FA29DC" w:rsidP="00CA2577">
    <w:pPr>
      <w:pStyle w:val="Header"/>
      <w:jc w:val="center"/>
      <w:rPr>
        <w:sz w:val="18"/>
        <w:szCs w:val="18"/>
        <w:lang w:val="fr-CH"/>
      </w:rPr>
    </w:pPr>
    <w:r w:rsidRPr="00FA29DC">
      <w:rPr>
        <w:sz w:val="18"/>
        <w:szCs w:val="18"/>
        <w:lang w:val="fr-CH"/>
      </w:rPr>
      <w:t xml:space="preserve">Joint ET-ASC/ET-ISA/2/Doc. </w:t>
    </w:r>
    <w:r w:rsidR="00CA2577">
      <w:rPr>
        <w:sz w:val="18"/>
        <w:szCs w:val="18"/>
        <w:lang w:val="fr-CH"/>
      </w:rPr>
      <w:t>6</w:t>
    </w:r>
    <w:r w:rsidRPr="00FA29DC">
      <w:rPr>
        <w:sz w:val="18"/>
        <w:szCs w:val="18"/>
        <w:lang w:val="fr-CH"/>
      </w:rPr>
      <w:t xml:space="preserve">, p. </w:t>
    </w:r>
    <w:r w:rsidRPr="00FA29DC">
      <w:rPr>
        <w:sz w:val="18"/>
        <w:szCs w:val="18"/>
        <w:lang w:val="fr-CH"/>
      </w:rPr>
      <w:fldChar w:fldCharType="begin"/>
    </w:r>
    <w:r w:rsidRPr="00FA29DC">
      <w:rPr>
        <w:sz w:val="18"/>
        <w:szCs w:val="18"/>
        <w:lang w:val="fr-CH"/>
      </w:rPr>
      <w:instrText xml:space="preserve"> PAGE   \* MERGEFORMAT </w:instrText>
    </w:r>
    <w:r w:rsidRPr="00FA29DC">
      <w:rPr>
        <w:sz w:val="18"/>
        <w:szCs w:val="18"/>
        <w:lang w:val="fr-CH"/>
      </w:rPr>
      <w:fldChar w:fldCharType="separate"/>
    </w:r>
    <w:r w:rsidR="00D27F39">
      <w:rPr>
        <w:noProof/>
        <w:sz w:val="18"/>
        <w:szCs w:val="18"/>
        <w:lang w:val="fr-CH"/>
      </w:rPr>
      <w:t>3</w:t>
    </w:r>
    <w:r w:rsidRPr="00FA29DC">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9C2463" w:rsidRPr="00D27F39" w:rsidTr="009C2463">
      <w:tc>
        <w:tcPr>
          <w:tcW w:w="5495" w:type="dxa"/>
        </w:tcPr>
        <w:p w:rsidR="009C2463" w:rsidRPr="009C2463" w:rsidRDefault="009C2463" w:rsidP="00EC0B58">
          <w:pPr>
            <w:tabs>
              <w:tab w:val="left" w:pos="-722"/>
              <w:tab w:val="left" w:pos="6946"/>
            </w:tabs>
            <w:suppressAutoHyphen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9C2463" w:rsidRPr="009C2463" w:rsidRDefault="009C2463" w:rsidP="00EF7462">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sidR="00EF7462">
            <w:rPr>
              <w:rFonts w:eastAsia="SimSun"/>
              <w:b/>
              <w:bCs/>
              <w:color w:val="365F91"/>
              <w:szCs w:val="24"/>
              <w:lang w:val="fr-CH"/>
            </w:rPr>
            <w:t>6</w:t>
          </w:r>
        </w:p>
      </w:tc>
    </w:tr>
    <w:tr w:rsidR="009C2463" w:rsidRPr="009C2463" w:rsidTr="009C2463">
      <w:tc>
        <w:tcPr>
          <w:tcW w:w="5495" w:type="dxa"/>
          <w:vMerge w:val="restart"/>
        </w:tcPr>
        <w:p w:rsidR="009C2463" w:rsidRPr="009C2463" w:rsidRDefault="009C2463" w:rsidP="00EC0B58">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9C2463" w:rsidRPr="009C2463" w:rsidRDefault="009C2463" w:rsidP="00EC0B58">
          <w:pPr>
            <w:tabs>
              <w:tab w:val="left" w:pos="-722"/>
              <w:tab w:val="left" w:pos="6946"/>
            </w:tabs>
            <w:suppressAutoHyphens/>
            <w:spacing w:after="0" w:line="252" w:lineRule="auto"/>
            <w:rPr>
              <w:rFonts w:eastAsia="SimSun"/>
              <w:b/>
              <w:color w:val="365F91"/>
              <w:spacing w:val="-2"/>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CA2577" w:rsidP="00CA2577">
          <w:pPr>
            <w:spacing w:before="60" w:after="0" w:line="240" w:lineRule="auto"/>
            <w:jc w:val="right"/>
            <w:rPr>
              <w:rFonts w:eastAsia="SimSun"/>
              <w:color w:val="365F91"/>
            </w:rPr>
          </w:pPr>
          <w:r>
            <w:rPr>
              <w:rFonts w:eastAsia="SimSun"/>
              <w:color w:val="365F91"/>
            </w:rPr>
            <w:t>17</w:t>
          </w:r>
          <w:r w:rsidR="009C2463" w:rsidRPr="009C2463">
            <w:rPr>
              <w:rFonts w:eastAsia="SimSun"/>
              <w:color w:val="365F91"/>
            </w:rPr>
            <w:t>.</w:t>
          </w:r>
          <w:r w:rsidR="009C2463">
            <w:rPr>
              <w:rFonts w:eastAsia="SimSun"/>
              <w:color w:val="365F91"/>
            </w:rPr>
            <w:t>V.2017</w:t>
          </w:r>
        </w:p>
      </w:tc>
    </w:tr>
    <w:tr w:rsidR="009C2463" w:rsidRPr="009C2463" w:rsidTr="009C2463">
      <w:tc>
        <w:tcPr>
          <w:tcW w:w="5495" w:type="dxa"/>
          <w:vMerge/>
        </w:tcPr>
        <w:p w:rsidR="009C2463" w:rsidRPr="009C2463" w:rsidRDefault="009C2463" w:rsidP="00EC0B58">
          <w:pPr>
            <w:tabs>
              <w:tab w:val="left" w:pos="1134"/>
            </w:tabs>
            <w:spacing w:before="240" w:after="0" w:line="240" w:lineRule="auto"/>
            <w:rPr>
              <w:rFonts w:eastAsia="Arial" w:cs="Arial"/>
              <w:color w:val="365F91"/>
              <w:lang w:eastAsia="zh-TW"/>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C0B58">
          <w:pPr>
            <w:spacing w:before="60" w:after="0" w:line="240" w:lineRule="auto"/>
            <w:jc w:val="right"/>
            <w:rPr>
              <w:rFonts w:eastAsia="SimSun"/>
              <w:color w:val="365F91"/>
            </w:rPr>
          </w:pPr>
        </w:p>
      </w:tc>
    </w:tr>
    <w:tr w:rsidR="009C2463" w:rsidRPr="009C2463" w:rsidTr="009C2463">
      <w:tc>
        <w:tcPr>
          <w:tcW w:w="5495" w:type="dxa"/>
          <w:vMerge w:val="restart"/>
          <w:tcBorders>
            <w:bottom w:val="single" w:sz="4" w:space="0" w:color="auto"/>
          </w:tcBorders>
          <w:vAlign w:val="center"/>
        </w:tcPr>
        <w:p w:rsidR="009C2463" w:rsidRPr="009C2463" w:rsidRDefault="009C2463" w:rsidP="00EC0B58">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F7462">
          <w:pPr>
            <w:spacing w:before="60" w:after="0" w:line="240" w:lineRule="auto"/>
            <w:jc w:val="right"/>
            <w:rPr>
              <w:rFonts w:eastAsia="SimSun"/>
              <w:color w:val="365F91"/>
            </w:rPr>
          </w:pPr>
          <w:r w:rsidRPr="009C2463">
            <w:rPr>
              <w:rFonts w:eastAsia="SimSun"/>
              <w:color w:val="365F91"/>
            </w:rPr>
            <w:t xml:space="preserve">ITEM </w:t>
          </w:r>
          <w:r w:rsidR="00EF7462">
            <w:rPr>
              <w:rFonts w:eastAsia="SimSun"/>
              <w:color w:val="365F91"/>
            </w:rPr>
            <w:t>6</w:t>
          </w:r>
        </w:p>
      </w:tc>
    </w:tr>
    <w:tr w:rsidR="009C2463" w:rsidRPr="009C2463" w:rsidTr="009C2463">
      <w:trPr>
        <w:trHeight w:val="792"/>
      </w:trPr>
      <w:tc>
        <w:tcPr>
          <w:tcW w:w="5495" w:type="dxa"/>
          <w:vMerge/>
          <w:tcBorders>
            <w:bottom w:val="single" w:sz="4" w:space="0" w:color="auto"/>
          </w:tcBorders>
        </w:tcPr>
        <w:p w:rsidR="009C2463" w:rsidRPr="009C2463" w:rsidRDefault="009C2463" w:rsidP="00EC0B58">
          <w:pPr>
            <w:spacing w:after="0" w:line="240" w:lineRule="auto"/>
            <w:rPr>
              <w:rFonts w:eastAsia="SimSun"/>
              <w:color w:val="365F91"/>
              <w:szCs w:val="24"/>
            </w:rPr>
          </w:pPr>
        </w:p>
      </w:tc>
      <w:tc>
        <w:tcPr>
          <w:tcW w:w="2835" w:type="dxa"/>
          <w:tcBorders>
            <w:bottom w:val="single" w:sz="4" w:space="0" w:color="auto"/>
          </w:tcBorders>
          <w:vAlign w:val="center"/>
        </w:tcPr>
        <w:p w:rsidR="009C2463" w:rsidRPr="009C2463" w:rsidRDefault="009C2463" w:rsidP="00EC0B58">
          <w:pPr>
            <w:spacing w:after="0" w:line="240" w:lineRule="auto"/>
            <w:jc w:val="right"/>
            <w:rPr>
              <w:rFonts w:eastAsia="SimSun"/>
              <w:color w:val="365F91"/>
              <w:szCs w:val="24"/>
            </w:rPr>
          </w:pPr>
        </w:p>
      </w:tc>
      <w:tc>
        <w:tcPr>
          <w:tcW w:w="1701" w:type="dxa"/>
          <w:tcBorders>
            <w:bottom w:val="single" w:sz="4" w:space="0" w:color="auto"/>
          </w:tcBorders>
          <w:vAlign w:val="center"/>
        </w:tcPr>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b/>
              <w:color w:val="365F91"/>
              <w:szCs w:val="24"/>
            </w:rPr>
          </w:pPr>
          <w:r w:rsidRPr="009C2463">
            <w:rPr>
              <w:rFonts w:eastAsia="SimSun"/>
              <w:color w:val="365F91"/>
            </w:rPr>
            <w:t xml:space="preserve">English only </w:t>
          </w:r>
        </w:p>
      </w:tc>
    </w:tr>
  </w:tbl>
  <w:p w:rsidR="00A75EC4" w:rsidRDefault="00A75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3" w:rsidRPr="005C31E3" w:rsidRDefault="005C31E3" w:rsidP="00775669">
    <w:pPr>
      <w:pStyle w:val="Header"/>
      <w:jc w:val="center"/>
      <w:rPr>
        <w:sz w:val="18"/>
        <w:szCs w:val="18"/>
        <w:lang w:val="fr-CH"/>
      </w:rPr>
    </w:pPr>
    <w:r w:rsidRPr="005C31E3">
      <w:rPr>
        <w:sz w:val="18"/>
        <w:szCs w:val="18"/>
        <w:lang w:val="fr-CH"/>
      </w:rPr>
      <w:t xml:space="preserve">Joint ET-ASC/ET-ISA/2/Doc. </w:t>
    </w:r>
    <w:r w:rsidR="00775669">
      <w:rPr>
        <w:sz w:val="18"/>
        <w:szCs w:val="18"/>
        <w:lang w:val="fr-CH"/>
      </w:rPr>
      <w:t>6</w:t>
    </w:r>
    <w:r w:rsidRPr="005C31E3">
      <w:rPr>
        <w:sz w:val="18"/>
        <w:szCs w:val="18"/>
        <w:lang w:val="fr-CH"/>
      </w:rPr>
      <w:t xml:space="preserve">, p. </w:t>
    </w:r>
    <w:r w:rsidRPr="005C31E3">
      <w:rPr>
        <w:sz w:val="18"/>
        <w:szCs w:val="18"/>
        <w:lang w:val="fr-CH"/>
      </w:rPr>
      <w:fldChar w:fldCharType="begin"/>
    </w:r>
    <w:r w:rsidRPr="005C31E3">
      <w:rPr>
        <w:sz w:val="18"/>
        <w:szCs w:val="18"/>
        <w:lang w:val="fr-CH"/>
      </w:rPr>
      <w:instrText xml:space="preserve"> PAGE   \* MERGEFORMAT </w:instrText>
    </w:r>
    <w:r w:rsidRPr="005C31E3">
      <w:rPr>
        <w:sz w:val="18"/>
        <w:szCs w:val="18"/>
        <w:lang w:val="fr-CH"/>
      </w:rPr>
      <w:fldChar w:fldCharType="separate"/>
    </w:r>
    <w:r w:rsidR="00D27F39">
      <w:rPr>
        <w:noProof/>
        <w:sz w:val="18"/>
        <w:szCs w:val="18"/>
        <w:lang w:val="fr-CH"/>
      </w:rPr>
      <w:t>2</w:t>
    </w:r>
    <w:r w:rsidRPr="005C31E3">
      <w:rPr>
        <w:noProof/>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0F1437"/>
    <w:multiLevelType w:val="hybridMultilevel"/>
    <w:tmpl w:val="466E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DF3442"/>
    <w:multiLevelType w:val="hybridMultilevel"/>
    <w:tmpl w:val="83B08CFE"/>
    <w:lvl w:ilvl="0" w:tplc="6292E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57006"/>
    <w:rsid w:val="000779FA"/>
    <w:rsid w:val="00141D67"/>
    <w:rsid w:val="00217094"/>
    <w:rsid w:val="002234B5"/>
    <w:rsid w:val="00227491"/>
    <w:rsid w:val="00232B3C"/>
    <w:rsid w:val="00275557"/>
    <w:rsid w:val="00284815"/>
    <w:rsid w:val="002C2244"/>
    <w:rsid w:val="002C4A69"/>
    <w:rsid w:val="00320246"/>
    <w:rsid w:val="003B6850"/>
    <w:rsid w:val="003E2ED3"/>
    <w:rsid w:val="004E05C0"/>
    <w:rsid w:val="004F057C"/>
    <w:rsid w:val="005158FA"/>
    <w:rsid w:val="0052346A"/>
    <w:rsid w:val="005362E2"/>
    <w:rsid w:val="00557E14"/>
    <w:rsid w:val="005A6ABC"/>
    <w:rsid w:val="005B7425"/>
    <w:rsid w:val="005C1961"/>
    <w:rsid w:val="005C31E3"/>
    <w:rsid w:val="005D4520"/>
    <w:rsid w:val="0061201D"/>
    <w:rsid w:val="00637B04"/>
    <w:rsid w:val="006A4E71"/>
    <w:rsid w:val="0076083F"/>
    <w:rsid w:val="00775669"/>
    <w:rsid w:val="007D5C28"/>
    <w:rsid w:val="007E346E"/>
    <w:rsid w:val="00847E2B"/>
    <w:rsid w:val="00906FDA"/>
    <w:rsid w:val="0091413A"/>
    <w:rsid w:val="00916735"/>
    <w:rsid w:val="009732A5"/>
    <w:rsid w:val="00987418"/>
    <w:rsid w:val="00995F1E"/>
    <w:rsid w:val="009C2463"/>
    <w:rsid w:val="009C7C7B"/>
    <w:rsid w:val="00A53857"/>
    <w:rsid w:val="00A75EC4"/>
    <w:rsid w:val="00AB18F7"/>
    <w:rsid w:val="00B3191A"/>
    <w:rsid w:val="00B372A2"/>
    <w:rsid w:val="00B63C43"/>
    <w:rsid w:val="00BE0775"/>
    <w:rsid w:val="00CA2577"/>
    <w:rsid w:val="00CC50CB"/>
    <w:rsid w:val="00CD6713"/>
    <w:rsid w:val="00CD7FA2"/>
    <w:rsid w:val="00D166E5"/>
    <w:rsid w:val="00D17AEB"/>
    <w:rsid w:val="00D24E98"/>
    <w:rsid w:val="00D27F39"/>
    <w:rsid w:val="00D75AFB"/>
    <w:rsid w:val="00DD1204"/>
    <w:rsid w:val="00DD3C5C"/>
    <w:rsid w:val="00DD6313"/>
    <w:rsid w:val="00DE1CF9"/>
    <w:rsid w:val="00E82668"/>
    <w:rsid w:val="00EE1ABB"/>
    <w:rsid w:val="00EF6C61"/>
    <w:rsid w:val="00EF7462"/>
    <w:rsid w:val="00F031B0"/>
    <w:rsid w:val="00F250C1"/>
    <w:rsid w:val="00F85205"/>
    <w:rsid w:val="00F93630"/>
    <w:rsid w:val="00FA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alloonText">
    <w:name w:val="Balloon Text"/>
    <w:basedOn w:val="Normal"/>
    <w:link w:val="BalloonTextChar"/>
    <w:uiPriority w:val="99"/>
    <w:semiHidden/>
    <w:unhideWhenUsed/>
    <w:rsid w:val="0051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FA"/>
    <w:rPr>
      <w:rFonts w:ascii="Tahoma" w:hAnsi="Tahoma" w:cs="Tahoma"/>
      <w:sz w:val="16"/>
      <w:szCs w:val="16"/>
      <w:lang w:val="en-GB"/>
    </w:rPr>
  </w:style>
  <w:style w:type="paragraph" w:styleId="Date">
    <w:name w:val="Date"/>
    <w:basedOn w:val="Normal"/>
    <w:next w:val="Normal"/>
    <w:link w:val="DateChar"/>
    <w:uiPriority w:val="99"/>
    <w:semiHidden/>
    <w:unhideWhenUsed/>
    <w:rsid w:val="005158FA"/>
  </w:style>
  <w:style w:type="character" w:customStyle="1" w:styleId="DateChar">
    <w:name w:val="Date Char"/>
    <w:basedOn w:val="DefaultParagraphFont"/>
    <w:link w:val="Date"/>
    <w:uiPriority w:val="99"/>
    <w:semiHidden/>
    <w:rsid w:val="005158FA"/>
    <w:rPr>
      <w:rFonts w:ascii="Verdana" w:hAnsi="Verdana"/>
      <w:sz w:val="20"/>
      <w:lang w:val="en-GB"/>
    </w:rPr>
  </w:style>
  <w:style w:type="character" w:styleId="Hyperlink">
    <w:name w:val="Hyperlink"/>
    <w:basedOn w:val="DefaultParagraphFont"/>
    <w:uiPriority w:val="99"/>
    <w:unhideWhenUsed/>
    <w:rsid w:val="00CD7FA2"/>
    <w:rPr>
      <w:color w:val="0000FF" w:themeColor="hyperlink"/>
      <w:u w:val="single"/>
    </w:rPr>
  </w:style>
  <w:style w:type="character" w:styleId="FollowedHyperlink">
    <w:name w:val="FollowedHyperlink"/>
    <w:basedOn w:val="DefaultParagraphFont"/>
    <w:uiPriority w:val="99"/>
    <w:semiHidden/>
    <w:unhideWhenUsed/>
    <w:rsid w:val="00D27F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alloonText">
    <w:name w:val="Balloon Text"/>
    <w:basedOn w:val="Normal"/>
    <w:link w:val="BalloonTextChar"/>
    <w:uiPriority w:val="99"/>
    <w:semiHidden/>
    <w:unhideWhenUsed/>
    <w:rsid w:val="0051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FA"/>
    <w:rPr>
      <w:rFonts w:ascii="Tahoma" w:hAnsi="Tahoma" w:cs="Tahoma"/>
      <w:sz w:val="16"/>
      <w:szCs w:val="16"/>
      <w:lang w:val="en-GB"/>
    </w:rPr>
  </w:style>
  <w:style w:type="paragraph" w:styleId="Date">
    <w:name w:val="Date"/>
    <w:basedOn w:val="Normal"/>
    <w:next w:val="Normal"/>
    <w:link w:val="DateChar"/>
    <w:uiPriority w:val="99"/>
    <w:semiHidden/>
    <w:unhideWhenUsed/>
    <w:rsid w:val="005158FA"/>
  </w:style>
  <w:style w:type="character" w:customStyle="1" w:styleId="DateChar">
    <w:name w:val="Date Char"/>
    <w:basedOn w:val="DefaultParagraphFont"/>
    <w:link w:val="Date"/>
    <w:uiPriority w:val="99"/>
    <w:semiHidden/>
    <w:rsid w:val="005158FA"/>
    <w:rPr>
      <w:rFonts w:ascii="Verdana" w:hAnsi="Verdana"/>
      <w:sz w:val="20"/>
      <w:lang w:val="en-GB"/>
    </w:rPr>
  </w:style>
  <w:style w:type="character" w:styleId="Hyperlink">
    <w:name w:val="Hyperlink"/>
    <w:basedOn w:val="DefaultParagraphFont"/>
    <w:uiPriority w:val="99"/>
    <w:unhideWhenUsed/>
    <w:rsid w:val="00CD7FA2"/>
    <w:rPr>
      <w:color w:val="0000FF" w:themeColor="hyperlink"/>
      <w:u w:val="single"/>
    </w:rPr>
  </w:style>
  <w:style w:type="character" w:styleId="FollowedHyperlink">
    <w:name w:val="FollowedHyperlink"/>
    <w:basedOn w:val="DefaultParagraphFont"/>
    <w:uiPriority w:val="99"/>
    <w:semiHidden/>
    <w:unhideWhenUsed/>
    <w:rsid w:val="00D27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o.int/pages/prog/www/OSY/GOS-RR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mo.int/pages/prog/www/OSY/SOG/SoG-Aer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100E-A7F4-4C1A-85EF-9983D9F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2017-05-17T10:55:00Z</dcterms:created>
  <dcterms:modified xsi:type="dcterms:W3CDTF">2017-05-17T10:55:00Z</dcterms:modified>
</cp:coreProperties>
</file>