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2835"/>
        <w:gridCol w:w="1701"/>
      </w:tblGrid>
      <w:tr w:rsidR="005E62E9" w:rsidRPr="002169EF" w:rsidTr="00CB402F">
        <w:tc>
          <w:tcPr>
            <w:tcW w:w="5495" w:type="dxa"/>
          </w:tcPr>
          <w:p w:rsidR="005E62E9" w:rsidRPr="002169EF" w:rsidRDefault="005E62E9" w:rsidP="00CB402F">
            <w:pPr>
              <w:tabs>
                <w:tab w:val="left" w:pos="-722"/>
                <w:tab w:val="left" w:pos="6946"/>
              </w:tabs>
              <w:suppressAutoHyphens/>
              <w:spacing w:after="120" w:line="252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69EF">
              <w:rPr>
                <w:rFonts w:ascii="Verdana" w:hAnsi="Verdana"/>
                <w:b/>
                <w:bCs/>
                <w:sz w:val="20"/>
                <w:szCs w:val="20"/>
              </w:rPr>
              <w:t>World Meteorological Organization</w:t>
            </w:r>
          </w:p>
        </w:tc>
        <w:tc>
          <w:tcPr>
            <w:tcW w:w="4536" w:type="dxa"/>
            <w:gridSpan w:val="2"/>
          </w:tcPr>
          <w:p w:rsidR="005E62E9" w:rsidRPr="002169EF" w:rsidRDefault="004B4533" w:rsidP="00333C88">
            <w:pPr>
              <w:jc w:val="right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169E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CAeM-MG/201</w:t>
            </w:r>
            <w:r w:rsidR="009060EC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6</w:t>
            </w:r>
            <w:r w:rsidR="005E62E9" w:rsidRPr="002169E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/Doc. </w:t>
            </w:r>
            <w:r w:rsidR="00003FC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6.</w:t>
            </w:r>
            <w:r w:rsidR="00421F0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E62E9" w:rsidRPr="002169EF" w:rsidTr="004B4533">
        <w:tc>
          <w:tcPr>
            <w:tcW w:w="5495" w:type="dxa"/>
            <w:vMerge w:val="restart"/>
          </w:tcPr>
          <w:p w:rsidR="004B4533" w:rsidRPr="002169EF" w:rsidRDefault="004B4533" w:rsidP="004B4533">
            <w:pPr>
              <w:tabs>
                <w:tab w:val="left" w:pos="1134"/>
                <w:tab w:val="left" w:pos="1638"/>
                <w:tab w:val="left" w:pos="226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169EF">
              <w:rPr>
                <w:rFonts w:ascii="Verdana" w:hAnsi="Verdana"/>
                <w:b/>
                <w:sz w:val="20"/>
                <w:szCs w:val="20"/>
              </w:rPr>
              <w:t>COMMISSION FOR AERONAUTICAL METEOROLOGY</w:t>
            </w:r>
          </w:p>
          <w:p w:rsidR="005E62E9" w:rsidRPr="002169EF" w:rsidRDefault="005E62E9" w:rsidP="004B4533">
            <w:pPr>
              <w:tabs>
                <w:tab w:val="left" w:pos="-722"/>
                <w:tab w:val="left" w:pos="6946"/>
              </w:tabs>
              <w:suppressAutoHyphens/>
              <w:spacing w:line="252" w:lineRule="auto"/>
              <w:rPr>
                <w:rFonts w:ascii="Verdana" w:hAnsi="Verdana"/>
                <w:b/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62E9" w:rsidRPr="002169EF" w:rsidRDefault="004B578E" w:rsidP="002169E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  <w:r w:rsidR="004B4533" w:rsidRPr="002169EF">
              <w:rPr>
                <w:rFonts w:ascii="Verdana" w:hAnsi="Verdana"/>
                <w:sz w:val="20"/>
                <w:szCs w:val="20"/>
              </w:rPr>
              <w:t>.</w:t>
            </w:r>
            <w:r w:rsidR="002169EF" w:rsidRPr="002169EF">
              <w:rPr>
                <w:rFonts w:ascii="Verdana" w:hAnsi="Verdana"/>
                <w:sz w:val="20"/>
                <w:szCs w:val="20"/>
              </w:rPr>
              <w:t>X</w:t>
            </w:r>
            <w:r w:rsidR="004B4533" w:rsidRPr="002169EF">
              <w:rPr>
                <w:rFonts w:ascii="Verdana" w:hAnsi="Verdana"/>
                <w:sz w:val="20"/>
                <w:szCs w:val="20"/>
              </w:rPr>
              <w:t>.201</w:t>
            </w:r>
            <w:r w:rsidR="002169EF" w:rsidRPr="002169EF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5E62E9" w:rsidRPr="002169EF" w:rsidTr="004B4533">
        <w:tc>
          <w:tcPr>
            <w:tcW w:w="5495" w:type="dxa"/>
            <w:vMerge/>
          </w:tcPr>
          <w:p w:rsidR="005E62E9" w:rsidRPr="002169EF" w:rsidRDefault="005E62E9" w:rsidP="00CB402F">
            <w:pPr>
              <w:pStyle w:val="WMOBodyTex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5E62E9" w:rsidRPr="002169EF" w:rsidTr="004B4533">
        <w:tc>
          <w:tcPr>
            <w:tcW w:w="5495" w:type="dxa"/>
            <w:vMerge w:val="restart"/>
            <w:tcBorders>
              <w:bottom w:val="single" w:sz="4" w:space="0" w:color="auto"/>
            </w:tcBorders>
            <w:vAlign w:val="center"/>
          </w:tcPr>
          <w:p w:rsidR="005E62E9" w:rsidRPr="002169EF" w:rsidRDefault="004B4533" w:rsidP="00CB402F">
            <w:pPr>
              <w:tabs>
                <w:tab w:val="left" w:pos="1140"/>
              </w:tabs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69EF">
              <w:rPr>
                <w:rFonts w:ascii="Verdana" w:hAnsi="Verdana"/>
                <w:b/>
                <w:bCs/>
                <w:sz w:val="20"/>
                <w:szCs w:val="20"/>
              </w:rPr>
              <w:t>MANAGEMENT GROUP</w:t>
            </w:r>
            <w:r w:rsidR="00CF01A8">
              <w:rPr>
                <w:rFonts w:ascii="Verdana" w:hAnsi="Verdana"/>
                <w:b/>
                <w:bCs/>
                <w:sz w:val="20"/>
                <w:szCs w:val="20"/>
              </w:rPr>
              <w:t xml:space="preserve"> 2016</w:t>
            </w:r>
          </w:p>
          <w:p w:rsidR="004B4533" w:rsidRPr="002169EF" w:rsidRDefault="004B4533" w:rsidP="00CB402F">
            <w:pPr>
              <w:ind w:right="-455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5E62E9" w:rsidRPr="002169EF" w:rsidRDefault="002169EF" w:rsidP="00CB402F">
            <w:pPr>
              <w:ind w:right="-455"/>
              <w:rPr>
                <w:rFonts w:ascii="Verdana" w:hAnsi="Verdana"/>
                <w:snapToGrid w:val="0"/>
                <w:sz w:val="20"/>
                <w:szCs w:val="20"/>
              </w:rPr>
            </w:pPr>
            <w:r w:rsidRPr="002169EF">
              <w:rPr>
                <w:rFonts w:ascii="Verdana" w:hAnsi="Verdana"/>
                <w:snapToGrid w:val="0"/>
                <w:sz w:val="20"/>
                <w:szCs w:val="20"/>
              </w:rPr>
              <w:t>Hall (Innsbruck), Austria</w:t>
            </w:r>
          </w:p>
          <w:p w:rsidR="004B4533" w:rsidRPr="002169EF" w:rsidRDefault="002169EF" w:rsidP="00CB402F">
            <w:pPr>
              <w:ind w:right="-455"/>
              <w:rPr>
                <w:rFonts w:ascii="Verdana" w:hAnsi="Verdana"/>
                <w:snapToGrid w:val="0"/>
                <w:sz w:val="20"/>
                <w:szCs w:val="20"/>
              </w:rPr>
            </w:pPr>
            <w:r w:rsidRPr="002169EF">
              <w:rPr>
                <w:rFonts w:ascii="Verdana" w:hAnsi="Verdana"/>
                <w:snapToGrid w:val="0"/>
                <w:sz w:val="20"/>
                <w:szCs w:val="20"/>
              </w:rPr>
              <w:t>8-10 November 2016</w:t>
            </w:r>
          </w:p>
        </w:tc>
        <w:tc>
          <w:tcPr>
            <w:tcW w:w="2835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62E9" w:rsidRPr="002169EF" w:rsidRDefault="00071F24" w:rsidP="00421F06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  <w:r w:rsidRPr="002169EF">
              <w:rPr>
                <w:rFonts w:ascii="Verdana" w:hAnsi="Verdana"/>
                <w:sz w:val="20"/>
                <w:szCs w:val="20"/>
              </w:rPr>
              <w:t>ITEM</w:t>
            </w:r>
            <w:r w:rsidR="006120E2" w:rsidRPr="002169E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3FCA">
              <w:rPr>
                <w:rFonts w:ascii="Verdana" w:hAnsi="Verdana"/>
                <w:sz w:val="20"/>
                <w:szCs w:val="20"/>
              </w:rPr>
              <w:t>6.</w:t>
            </w:r>
            <w:r w:rsidR="00421F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5E62E9" w:rsidRPr="002169EF" w:rsidTr="004B4533">
        <w:tc>
          <w:tcPr>
            <w:tcW w:w="5495" w:type="dxa"/>
            <w:vMerge/>
            <w:tcBorders>
              <w:bottom w:val="single" w:sz="4" w:space="0" w:color="auto"/>
            </w:tcBorders>
          </w:tcPr>
          <w:p w:rsidR="005E62E9" w:rsidRPr="002169EF" w:rsidRDefault="005E62E9" w:rsidP="00CB40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E62E9" w:rsidRPr="002169EF" w:rsidRDefault="005E62E9" w:rsidP="00CB402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4533" w:rsidRPr="002169EF" w:rsidRDefault="004B4533" w:rsidP="00CB402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4B4533" w:rsidRPr="002169EF" w:rsidRDefault="004B4533" w:rsidP="00CB402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5E62E9" w:rsidRPr="002169EF" w:rsidRDefault="004B4533" w:rsidP="00CB402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169EF">
              <w:rPr>
                <w:rFonts w:ascii="Verdana" w:hAnsi="Verdana"/>
                <w:sz w:val="20"/>
                <w:szCs w:val="20"/>
              </w:rPr>
              <w:t xml:space="preserve">English only </w:t>
            </w:r>
          </w:p>
        </w:tc>
      </w:tr>
    </w:tbl>
    <w:p w:rsidR="00613C50" w:rsidRPr="002169EF" w:rsidRDefault="00613C50">
      <w:pPr>
        <w:rPr>
          <w:rFonts w:ascii="Verdana" w:hAnsi="Verdana"/>
          <w:sz w:val="20"/>
          <w:szCs w:val="20"/>
        </w:rPr>
      </w:pPr>
    </w:p>
    <w:p w:rsidR="00613C50" w:rsidRPr="002169EF" w:rsidRDefault="00613C50">
      <w:pPr>
        <w:rPr>
          <w:rFonts w:ascii="Verdana" w:hAnsi="Verdana"/>
          <w:sz w:val="20"/>
          <w:szCs w:val="20"/>
        </w:rPr>
      </w:pPr>
    </w:p>
    <w:p w:rsidR="00826DAF" w:rsidRPr="002169EF" w:rsidRDefault="00826DAF">
      <w:pPr>
        <w:rPr>
          <w:rFonts w:ascii="Verdana" w:hAnsi="Verdana"/>
          <w:sz w:val="20"/>
          <w:szCs w:val="20"/>
        </w:rPr>
      </w:pPr>
    </w:p>
    <w:p w:rsidR="00826DAF" w:rsidRPr="002169EF" w:rsidRDefault="00826DAF">
      <w:pPr>
        <w:rPr>
          <w:rFonts w:ascii="Verdana" w:hAnsi="Verdana"/>
          <w:sz w:val="20"/>
          <w:szCs w:val="20"/>
        </w:rPr>
      </w:pPr>
    </w:p>
    <w:p w:rsidR="00613C50" w:rsidRPr="002169EF" w:rsidRDefault="00003FCA" w:rsidP="00BF6F78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FUTURE WORK PROGRAMME</w:t>
      </w:r>
    </w:p>
    <w:p w:rsidR="00BF6F78" w:rsidRPr="002169EF" w:rsidRDefault="00BF6F78" w:rsidP="00BF6F78">
      <w:pPr>
        <w:jc w:val="center"/>
        <w:rPr>
          <w:rFonts w:ascii="Verdana" w:hAnsi="Verdana"/>
          <w:sz w:val="20"/>
          <w:szCs w:val="20"/>
        </w:rPr>
      </w:pPr>
    </w:p>
    <w:p w:rsidR="00826DAF" w:rsidRPr="002169EF" w:rsidRDefault="00421F06" w:rsidP="00826DA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CAeM-16 Session (2018) – initial planning</w:t>
      </w:r>
    </w:p>
    <w:p w:rsidR="00BF6F78" w:rsidRPr="002169EF" w:rsidRDefault="00BF6F78" w:rsidP="00826DAF">
      <w:pPr>
        <w:jc w:val="center"/>
        <w:rPr>
          <w:rFonts w:ascii="Verdana" w:hAnsi="Verdana"/>
          <w:sz w:val="20"/>
          <w:szCs w:val="20"/>
        </w:rPr>
      </w:pPr>
    </w:p>
    <w:p w:rsidR="00826DAF" w:rsidRPr="002169EF" w:rsidRDefault="00826DAF" w:rsidP="00003FCA">
      <w:pPr>
        <w:jc w:val="center"/>
        <w:rPr>
          <w:rFonts w:ascii="Verdana" w:hAnsi="Verdana"/>
          <w:i/>
          <w:sz w:val="20"/>
          <w:szCs w:val="20"/>
        </w:rPr>
      </w:pPr>
      <w:r w:rsidRPr="002169EF">
        <w:rPr>
          <w:rFonts w:ascii="Verdana" w:hAnsi="Verdana"/>
          <w:i/>
          <w:sz w:val="20"/>
          <w:szCs w:val="20"/>
        </w:rPr>
        <w:t xml:space="preserve">(Submitted by </w:t>
      </w:r>
      <w:r w:rsidR="00003FCA">
        <w:rPr>
          <w:rFonts w:ascii="Verdana" w:hAnsi="Verdana"/>
          <w:i/>
          <w:sz w:val="20"/>
          <w:szCs w:val="20"/>
        </w:rPr>
        <w:t>the WMO Secretariat</w:t>
      </w:r>
      <w:r w:rsidR="00BF6F78" w:rsidRPr="002169EF">
        <w:rPr>
          <w:rFonts w:ascii="Verdana" w:hAnsi="Verdana"/>
          <w:i/>
          <w:sz w:val="20"/>
          <w:szCs w:val="20"/>
        </w:rPr>
        <w:t>)</w:t>
      </w:r>
    </w:p>
    <w:p w:rsidR="00826DAF" w:rsidRPr="002169EF" w:rsidRDefault="00826DAF" w:rsidP="00826DAF">
      <w:pPr>
        <w:jc w:val="center"/>
        <w:rPr>
          <w:rFonts w:ascii="Verdana" w:hAnsi="Verdana"/>
          <w:sz w:val="20"/>
          <w:szCs w:val="20"/>
        </w:rPr>
      </w:pPr>
    </w:p>
    <w:p w:rsidR="00826DAF" w:rsidRPr="002169EF" w:rsidRDefault="00826DAF" w:rsidP="00826DAF">
      <w:pPr>
        <w:jc w:val="center"/>
        <w:rPr>
          <w:rFonts w:ascii="Verdana" w:hAnsi="Verdana"/>
          <w:sz w:val="20"/>
          <w:szCs w:val="20"/>
        </w:rPr>
      </w:pPr>
    </w:p>
    <w:p w:rsidR="00826DAF" w:rsidRPr="002169EF" w:rsidRDefault="00826DAF" w:rsidP="00826DAF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3"/>
      </w:tblGrid>
      <w:tr w:rsidR="00826DAF" w:rsidRPr="002169EF">
        <w:trPr>
          <w:jc w:val="center"/>
        </w:trPr>
        <w:tc>
          <w:tcPr>
            <w:tcW w:w="7203" w:type="dxa"/>
          </w:tcPr>
          <w:p w:rsidR="00826DAF" w:rsidRPr="002169EF" w:rsidRDefault="00826DAF" w:rsidP="00FE3D78">
            <w:pPr>
              <w:suppressAutoHyphens/>
              <w:spacing w:before="9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26DAF" w:rsidRPr="002169EF" w:rsidRDefault="00826DAF" w:rsidP="00FE3D78">
            <w:pPr>
              <w:suppressAutoHyphens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69EF">
              <w:rPr>
                <w:rFonts w:ascii="Verdana" w:hAnsi="Verdana" w:cs="Arial"/>
                <w:b/>
                <w:sz w:val="20"/>
                <w:szCs w:val="20"/>
              </w:rPr>
              <w:t>Summary and Purpose of Document</w:t>
            </w:r>
          </w:p>
          <w:p w:rsidR="00826DAF" w:rsidRPr="002169EF" w:rsidRDefault="00826DAF" w:rsidP="00FE3D78">
            <w:pPr>
              <w:suppressAutoHyphens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6DAF" w:rsidRPr="002169EF" w:rsidRDefault="00826DAF" w:rsidP="004B57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69EF">
              <w:rPr>
                <w:rFonts w:ascii="Verdana" w:hAnsi="Verdana" w:cs="Arial"/>
                <w:sz w:val="20"/>
                <w:szCs w:val="20"/>
              </w:rPr>
              <w:t xml:space="preserve">This document provides </w:t>
            </w:r>
            <w:r w:rsidR="002250D9">
              <w:rPr>
                <w:rFonts w:ascii="Verdana" w:hAnsi="Verdana" w:cs="Arial"/>
                <w:sz w:val="20"/>
                <w:szCs w:val="20"/>
              </w:rPr>
              <w:t xml:space="preserve">an overview of the initial planning considerations necessary for the conducting of the sixteenth session of the </w:t>
            </w:r>
            <w:r w:rsidR="004B578E">
              <w:rPr>
                <w:rFonts w:ascii="Verdana" w:hAnsi="Verdana" w:cs="Arial"/>
                <w:sz w:val="20"/>
                <w:szCs w:val="20"/>
              </w:rPr>
              <w:t xml:space="preserve">Commission for Aeronautical Meteorology (CAeM-16) </w:t>
            </w:r>
            <w:r w:rsidR="002250D9">
              <w:rPr>
                <w:rFonts w:ascii="Verdana" w:hAnsi="Verdana" w:cs="Arial"/>
                <w:sz w:val="20"/>
                <w:szCs w:val="20"/>
              </w:rPr>
              <w:t xml:space="preserve"> in 2018, to be held back-to-back with a technical conference (TECO), and </w:t>
            </w:r>
            <w:r w:rsidR="003B2A23">
              <w:rPr>
                <w:rFonts w:ascii="Verdana" w:hAnsi="Verdana" w:cs="Arial"/>
                <w:sz w:val="20"/>
                <w:szCs w:val="20"/>
              </w:rPr>
              <w:t>proposed</w:t>
            </w:r>
            <w:r w:rsidR="002250D9">
              <w:rPr>
                <w:rFonts w:ascii="Verdana" w:hAnsi="Verdana" w:cs="Arial"/>
                <w:sz w:val="20"/>
                <w:szCs w:val="20"/>
              </w:rPr>
              <w:t xml:space="preserve"> actions to address the planning, preparation and coordination needs</w:t>
            </w:r>
            <w:r w:rsidR="003B2A23">
              <w:rPr>
                <w:rFonts w:ascii="Verdana" w:hAnsi="Verdana" w:cs="Arial"/>
                <w:sz w:val="20"/>
                <w:szCs w:val="20"/>
              </w:rPr>
              <w:t xml:space="preserve"> for the events</w:t>
            </w:r>
            <w:r w:rsidRPr="002169E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826DAF" w:rsidRPr="002169EF" w:rsidRDefault="00826DAF" w:rsidP="00FE3D78">
            <w:pPr>
              <w:rPr>
                <w:rFonts w:ascii="Verdana" w:hAnsi="Verdana" w:cs="Arial"/>
                <w:spacing w:val="-2"/>
                <w:sz w:val="20"/>
                <w:szCs w:val="20"/>
              </w:rPr>
            </w:pPr>
          </w:p>
        </w:tc>
      </w:tr>
    </w:tbl>
    <w:p w:rsidR="00826DAF" w:rsidRPr="002169EF" w:rsidRDefault="00826DAF" w:rsidP="00826DAF">
      <w:pPr>
        <w:suppressAutoHyphens/>
        <w:jc w:val="center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ind w:left="1440" w:firstLine="720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826DA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69EF">
        <w:rPr>
          <w:rFonts w:ascii="Verdana" w:hAnsi="Verdana" w:cs="Arial"/>
          <w:b/>
          <w:bCs/>
          <w:sz w:val="20"/>
          <w:szCs w:val="20"/>
        </w:rPr>
        <w:t>ACTION PROPOSED</w:t>
      </w:r>
    </w:p>
    <w:p w:rsidR="00826DAF" w:rsidRPr="002169EF" w:rsidRDefault="00826DAF" w:rsidP="00826DAF">
      <w:pPr>
        <w:jc w:val="center"/>
        <w:rPr>
          <w:rFonts w:ascii="Verdana" w:hAnsi="Verdana" w:cs="Arial"/>
          <w:sz w:val="20"/>
          <w:szCs w:val="20"/>
        </w:rPr>
      </w:pPr>
    </w:p>
    <w:p w:rsidR="00A03A9D" w:rsidRPr="002169EF" w:rsidRDefault="00A03A9D" w:rsidP="003B2A23">
      <w:pPr>
        <w:pStyle w:val="BodyText"/>
        <w:ind w:firstLine="720"/>
        <w:rPr>
          <w:rFonts w:ascii="Verdana" w:hAnsi="Verdana"/>
          <w:sz w:val="20"/>
          <w:szCs w:val="20"/>
        </w:rPr>
      </w:pPr>
      <w:r w:rsidRPr="002169EF">
        <w:rPr>
          <w:rFonts w:ascii="Verdana" w:hAnsi="Verdana"/>
          <w:sz w:val="20"/>
          <w:szCs w:val="20"/>
        </w:rPr>
        <w:t xml:space="preserve">The Management Group (MG) is invited to </w:t>
      </w:r>
      <w:r w:rsidR="003B2A23">
        <w:rPr>
          <w:rFonts w:ascii="Verdana" w:hAnsi="Verdana"/>
          <w:sz w:val="20"/>
          <w:szCs w:val="20"/>
        </w:rPr>
        <w:t xml:space="preserve">review the initial planning considerations pertaining to CAeM-16 and TECO, to discuss needs and expectations, and to formulate actions accordingly. </w:t>
      </w:r>
    </w:p>
    <w:p w:rsidR="00826DAF" w:rsidRPr="002169EF" w:rsidRDefault="00826DAF" w:rsidP="00A03A9D">
      <w:pPr>
        <w:pStyle w:val="BlockText"/>
        <w:ind w:hanging="1985"/>
        <w:rPr>
          <w:rFonts w:ascii="Verdana" w:hAnsi="Verdana"/>
          <w:sz w:val="20"/>
          <w:szCs w:val="20"/>
        </w:rPr>
      </w:pPr>
    </w:p>
    <w:p w:rsidR="00826DAF" w:rsidRPr="002169EF" w:rsidRDefault="00826DAF" w:rsidP="00826DAF">
      <w:pPr>
        <w:jc w:val="center"/>
        <w:rPr>
          <w:rFonts w:ascii="Verdana" w:hAnsi="Verdana" w:cs="Arial"/>
          <w:sz w:val="20"/>
          <w:szCs w:val="20"/>
        </w:rPr>
      </w:pPr>
      <w:r w:rsidRPr="002169EF">
        <w:rPr>
          <w:rFonts w:ascii="Verdana" w:hAnsi="Verdana" w:cs="Arial"/>
          <w:sz w:val="20"/>
          <w:szCs w:val="20"/>
        </w:rPr>
        <w:t>_______________</w:t>
      </w:r>
    </w:p>
    <w:p w:rsidR="00826DAF" w:rsidRPr="002169EF" w:rsidRDefault="00826DAF" w:rsidP="00826DAF">
      <w:pPr>
        <w:jc w:val="center"/>
        <w:rPr>
          <w:rFonts w:ascii="Verdana" w:hAnsi="Verdana" w:cs="Arial"/>
          <w:sz w:val="20"/>
          <w:szCs w:val="20"/>
        </w:rPr>
      </w:pPr>
    </w:p>
    <w:p w:rsidR="00D41D53" w:rsidRPr="002169EF" w:rsidRDefault="00D41D53" w:rsidP="00826DAF">
      <w:pPr>
        <w:jc w:val="center"/>
        <w:rPr>
          <w:rFonts w:ascii="Verdana" w:hAnsi="Verdana" w:cs="Arial"/>
          <w:sz w:val="20"/>
          <w:szCs w:val="20"/>
        </w:rPr>
      </w:pPr>
    </w:p>
    <w:p w:rsidR="00D41D53" w:rsidRPr="002169EF" w:rsidRDefault="00D41D53" w:rsidP="00826DAF">
      <w:pPr>
        <w:jc w:val="center"/>
        <w:rPr>
          <w:rFonts w:ascii="Verdana" w:hAnsi="Verdana" w:cs="Arial"/>
          <w:sz w:val="20"/>
          <w:szCs w:val="20"/>
        </w:rPr>
      </w:pPr>
    </w:p>
    <w:p w:rsidR="00826DAF" w:rsidRPr="002169EF" w:rsidRDefault="00826DAF" w:rsidP="00A03A9D">
      <w:pPr>
        <w:rPr>
          <w:rFonts w:ascii="Verdana" w:hAnsi="Verdana"/>
          <w:sz w:val="20"/>
          <w:szCs w:val="20"/>
        </w:rPr>
      </w:pPr>
    </w:p>
    <w:p w:rsidR="00E811C6" w:rsidRPr="002169EF" w:rsidRDefault="00E811C6" w:rsidP="00A03A9D">
      <w:pPr>
        <w:rPr>
          <w:rFonts w:ascii="Verdana" w:hAnsi="Verdana"/>
          <w:b/>
          <w:sz w:val="20"/>
          <w:szCs w:val="20"/>
        </w:rPr>
        <w:sectPr w:rsidR="00E811C6" w:rsidRPr="002169EF" w:rsidSect="00B02E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134" w:bottom="680" w:left="1134" w:header="454" w:footer="720" w:gutter="0"/>
          <w:cols w:space="720"/>
          <w:titlePg/>
          <w:docGrid w:linePitch="360"/>
        </w:sectPr>
      </w:pPr>
    </w:p>
    <w:p w:rsidR="00AF4CA4" w:rsidRDefault="00AF4CA4" w:rsidP="00AF4CA4">
      <w:pPr>
        <w:pStyle w:val="ListParagraph"/>
        <w:ind w:left="0"/>
        <w:jc w:val="both"/>
        <w:rPr>
          <w:rFonts w:ascii="Verdana" w:hAnsi="Verdana"/>
          <w:b/>
          <w:sz w:val="20"/>
          <w:szCs w:val="20"/>
        </w:rPr>
      </w:pPr>
    </w:p>
    <w:p w:rsidR="006764E2" w:rsidRPr="00720557" w:rsidRDefault="006764E2" w:rsidP="006764E2">
      <w:pPr>
        <w:pStyle w:val="ListParagraph"/>
        <w:numPr>
          <w:ilvl w:val="0"/>
          <w:numId w:val="5"/>
        </w:numPr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720557">
        <w:rPr>
          <w:rFonts w:ascii="Verdana" w:hAnsi="Verdana"/>
          <w:b/>
          <w:sz w:val="20"/>
          <w:szCs w:val="20"/>
        </w:rPr>
        <w:t>EXECUTIVE SUMMARY</w:t>
      </w:r>
    </w:p>
    <w:p w:rsidR="006764E2" w:rsidRPr="002169EF" w:rsidRDefault="006764E2" w:rsidP="006764E2">
      <w:pPr>
        <w:jc w:val="both"/>
        <w:rPr>
          <w:rFonts w:ascii="Verdana" w:hAnsi="Verdana"/>
          <w:b/>
          <w:sz w:val="20"/>
          <w:szCs w:val="20"/>
        </w:rPr>
      </w:pPr>
    </w:p>
    <w:p w:rsidR="006764E2" w:rsidRPr="00E65226" w:rsidRDefault="005C1CD0" w:rsidP="006764E2">
      <w:pPr>
        <w:pStyle w:val="ListParagraph"/>
        <w:ind w:left="0"/>
        <w:jc w:val="both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>Sixteenth session of the CAeM</w:t>
      </w:r>
      <w:r w:rsidR="002334F9">
        <w:rPr>
          <w:rFonts w:ascii="Verdana" w:hAnsi="Verdana"/>
          <w:b/>
          <w:i/>
          <w:iCs/>
          <w:sz w:val="20"/>
          <w:szCs w:val="20"/>
        </w:rPr>
        <w:t xml:space="preserve"> (CAeM-16)</w:t>
      </w:r>
    </w:p>
    <w:p w:rsidR="006764E2" w:rsidRDefault="006764E2" w:rsidP="006764E2">
      <w:pPr>
        <w:jc w:val="both"/>
        <w:rPr>
          <w:rFonts w:ascii="Verdana" w:hAnsi="Verdana"/>
          <w:iCs/>
          <w:sz w:val="20"/>
          <w:szCs w:val="20"/>
        </w:rPr>
      </w:pPr>
    </w:p>
    <w:p w:rsidR="006971B7" w:rsidRDefault="006971B7" w:rsidP="00043A2D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The MG acknowledged that there was a requirement to conduct a sixteenth session of the CAeM not later than 2018 owning to the fact that WMO Technical Commissions are required to convene at least once </w:t>
      </w:r>
      <w:r w:rsidR="00043A2D">
        <w:rPr>
          <w:rFonts w:ascii="Verdana" w:hAnsi="Verdana"/>
          <w:bCs/>
          <w:sz w:val="20"/>
          <w:szCs w:val="20"/>
        </w:rPr>
        <w:t>per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43A2D">
        <w:rPr>
          <w:rFonts w:ascii="Verdana" w:hAnsi="Verdana"/>
          <w:bCs/>
          <w:sz w:val="20"/>
          <w:szCs w:val="20"/>
        </w:rPr>
        <w:t>four</w:t>
      </w:r>
      <w:r>
        <w:rPr>
          <w:rFonts w:ascii="Verdana" w:hAnsi="Verdana"/>
          <w:bCs/>
          <w:sz w:val="20"/>
          <w:szCs w:val="20"/>
        </w:rPr>
        <w:t xml:space="preserve">-year </w:t>
      </w:r>
      <w:r w:rsidR="00043A2D">
        <w:rPr>
          <w:rFonts w:ascii="Verdana" w:hAnsi="Verdana"/>
          <w:bCs/>
          <w:sz w:val="20"/>
          <w:szCs w:val="20"/>
        </w:rPr>
        <w:t xml:space="preserve">WMO </w:t>
      </w:r>
      <w:r>
        <w:rPr>
          <w:rFonts w:ascii="Verdana" w:hAnsi="Verdana"/>
          <w:bCs/>
          <w:sz w:val="20"/>
          <w:szCs w:val="20"/>
        </w:rPr>
        <w:t>financial period and the fact that the last session (CAeM-15) was convened in July 2014 in Montreal, Canada conjointly with the ICAO Meteorology Divisional Meeting.</w:t>
      </w:r>
    </w:p>
    <w:p w:rsidR="006971B7" w:rsidRDefault="006971B7" w:rsidP="006971B7">
      <w:pPr>
        <w:pStyle w:val="ListParagraph"/>
        <w:ind w:left="0"/>
        <w:jc w:val="both"/>
        <w:rPr>
          <w:rFonts w:ascii="Verdana" w:hAnsi="Verdana"/>
          <w:bCs/>
          <w:sz w:val="20"/>
          <w:szCs w:val="20"/>
        </w:rPr>
      </w:pPr>
    </w:p>
    <w:p w:rsidR="00E21EF0" w:rsidRDefault="006971B7" w:rsidP="00E21EF0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80926">
        <w:rPr>
          <w:rFonts w:ascii="Verdana" w:hAnsi="Verdana"/>
          <w:bCs/>
          <w:sz w:val="20"/>
          <w:szCs w:val="20"/>
        </w:rPr>
        <w:t xml:space="preserve">The MG </w:t>
      </w:r>
      <w:r w:rsidR="00E21EF0">
        <w:rPr>
          <w:rFonts w:ascii="Verdana" w:hAnsi="Verdana"/>
          <w:bCs/>
          <w:sz w:val="20"/>
          <w:szCs w:val="20"/>
        </w:rPr>
        <w:t>noted</w:t>
      </w:r>
      <w:r w:rsidR="00E21EF0" w:rsidRPr="00080926">
        <w:rPr>
          <w:rFonts w:ascii="Verdana" w:hAnsi="Verdana"/>
          <w:bCs/>
          <w:sz w:val="20"/>
          <w:szCs w:val="20"/>
        </w:rPr>
        <w:t xml:space="preserve"> </w:t>
      </w:r>
      <w:r w:rsidRPr="00080926">
        <w:rPr>
          <w:rFonts w:ascii="Verdana" w:hAnsi="Verdana"/>
          <w:bCs/>
          <w:sz w:val="20"/>
          <w:szCs w:val="20"/>
        </w:rPr>
        <w:t xml:space="preserve">that </w:t>
      </w:r>
      <w:r w:rsidR="00E21EF0">
        <w:rPr>
          <w:rFonts w:ascii="Verdana" w:hAnsi="Verdana"/>
          <w:bCs/>
          <w:sz w:val="20"/>
          <w:szCs w:val="20"/>
        </w:rPr>
        <w:t>the</w:t>
      </w:r>
      <w:r w:rsidRPr="00080926">
        <w:rPr>
          <w:rFonts w:ascii="Verdana" w:hAnsi="Verdana"/>
          <w:bCs/>
          <w:sz w:val="20"/>
          <w:szCs w:val="20"/>
        </w:rPr>
        <w:t xml:space="preserve"> CAeM-16</w:t>
      </w:r>
      <w:r w:rsidR="00E21EF0">
        <w:rPr>
          <w:rFonts w:ascii="Verdana" w:hAnsi="Verdana"/>
          <w:bCs/>
          <w:sz w:val="20"/>
          <w:szCs w:val="20"/>
        </w:rPr>
        <w:t xml:space="preserve"> has been included in the WMO plan for sessions of constituent bodies for</w:t>
      </w:r>
      <w:r w:rsidRPr="00080926">
        <w:rPr>
          <w:rFonts w:ascii="Verdana" w:hAnsi="Verdana"/>
          <w:bCs/>
          <w:sz w:val="20"/>
          <w:szCs w:val="20"/>
        </w:rPr>
        <w:t xml:space="preserve"> 2018</w:t>
      </w:r>
      <w:r w:rsidR="00043A2D" w:rsidRPr="00080926">
        <w:rPr>
          <w:rFonts w:ascii="Verdana" w:hAnsi="Verdana"/>
          <w:bCs/>
          <w:sz w:val="20"/>
          <w:szCs w:val="20"/>
        </w:rPr>
        <w:t xml:space="preserve">, </w:t>
      </w:r>
      <w:r w:rsidR="00E21EF0">
        <w:rPr>
          <w:rFonts w:ascii="Verdana" w:hAnsi="Verdana"/>
          <w:bCs/>
          <w:sz w:val="20"/>
          <w:szCs w:val="20"/>
        </w:rPr>
        <w:t>tentatively in</w:t>
      </w:r>
      <w:r w:rsidR="00043A2D" w:rsidRPr="00080926">
        <w:rPr>
          <w:rFonts w:ascii="Verdana" w:hAnsi="Verdana"/>
          <w:bCs/>
          <w:sz w:val="20"/>
          <w:szCs w:val="20"/>
        </w:rPr>
        <w:t xml:space="preserve"> July</w:t>
      </w:r>
      <w:r w:rsidRPr="00080926">
        <w:rPr>
          <w:rFonts w:ascii="Verdana" w:hAnsi="Verdana"/>
          <w:bCs/>
          <w:sz w:val="20"/>
          <w:szCs w:val="20"/>
        </w:rPr>
        <w:t xml:space="preserve">. </w:t>
      </w:r>
      <w:r w:rsidR="00E21EF0">
        <w:rPr>
          <w:rFonts w:ascii="Verdana" w:hAnsi="Verdana"/>
          <w:bCs/>
          <w:sz w:val="20"/>
          <w:szCs w:val="20"/>
        </w:rPr>
        <w:t>A formal letter of invitation has been received from the UK in February 2015.</w:t>
      </w:r>
    </w:p>
    <w:p w:rsidR="00E21EF0" w:rsidRPr="0056532F" w:rsidRDefault="00E21EF0" w:rsidP="0056532F">
      <w:pPr>
        <w:pStyle w:val="ListParagraph"/>
        <w:rPr>
          <w:rFonts w:ascii="Verdana" w:hAnsi="Verdana"/>
          <w:bCs/>
          <w:sz w:val="20"/>
          <w:szCs w:val="20"/>
        </w:rPr>
      </w:pPr>
    </w:p>
    <w:p w:rsidR="00043A2D" w:rsidRDefault="006971B7" w:rsidP="0056532F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80926">
        <w:rPr>
          <w:rFonts w:ascii="Verdana" w:hAnsi="Verdana"/>
          <w:bCs/>
          <w:sz w:val="20"/>
          <w:szCs w:val="20"/>
        </w:rPr>
        <w:t xml:space="preserve">In considering the </w:t>
      </w:r>
      <w:r w:rsidR="00043A2D" w:rsidRPr="00080926">
        <w:rPr>
          <w:rFonts w:ascii="Verdana" w:hAnsi="Verdana"/>
          <w:bCs/>
          <w:sz w:val="20"/>
          <w:szCs w:val="20"/>
        </w:rPr>
        <w:t>duration</w:t>
      </w:r>
      <w:r w:rsidR="00217C3B" w:rsidRPr="00080926">
        <w:rPr>
          <w:rFonts w:ascii="Verdana" w:hAnsi="Verdana"/>
          <w:bCs/>
          <w:sz w:val="20"/>
          <w:szCs w:val="20"/>
        </w:rPr>
        <w:t xml:space="preserve"> of CAeM-16, the MG </w:t>
      </w:r>
      <w:r w:rsidR="0058530F">
        <w:rPr>
          <w:rFonts w:ascii="Verdana" w:hAnsi="Verdana"/>
          <w:bCs/>
          <w:sz w:val="20"/>
          <w:szCs w:val="20"/>
        </w:rPr>
        <w:t xml:space="preserve">agreed that </w:t>
      </w:r>
      <w:r w:rsidR="00E21EF0">
        <w:rPr>
          <w:rFonts w:ascii="Verdana" w:hAnsi="Verdana"/>
          <w:bCs/>
          <w:sz w:val="20"/>
          <w:szCs w:val="20"/>
          <w:highlight w:val="yellow"/>
        </w:rPr>
        <w:t>X</w:t>
      </w:r>
      <w:r w:rsidR="0058530F">
        <w:rPr>
          <w:rFonts w:ascii="Verdana" w:hAnsi="Verdana"/>
          <w:bCs/>
          <w:sz w:val="20"/>
          <w:szCs w:val="20"/>
        </w:rPr>
        <w:t xml:space="preserve"> working days would be </w:t>
      </w:r>
      <w:r w:rsidR="00E21EF0">
        <w:rPr>
          <w:rFonts w:ascii="Verdana" w:hAnsi="Verdana"/>
          <w:bCs/>
          <w:sz w:val="20"/>
          <w:szCs w:val="20"/>
        </w:rPr>
        <w:t xml:space="preserve">necessary </w:t>
      </w:r>
      <w:r w:rsidR="0058530F">
        <w:rPr>
          <w:rFonts w:ascii="Verdana" w:hAnsi="Verdana"/>
          <w:bCs/>
          <w:sz w:val="20"/>
          <w:szCs w:val="20"/>
        </w:rPr>
        <w:t>to conduct the order of business</w:t>
      </w:r>
      <w:r w:rsidR="00E21EF0">
        <w:rPr>
          <w:rFonts w:ascii="Verdana" w:hAnsi="Verdana"/>
          <w:bCs/>
          <w:sz w:val="20"/>
          <w:szCs w:val="20"/>
        </w:rPr>
        <w:t>. The meeting noted that the CAeM-15 agenda was much shorter than usual due to the fact that the session was conducted conjointly with the MET DIV 2014. T</w:t>
      </w:r>
      <w:r w:rsidR="0058530F">
        <w:rPr>
          <w:rFonts w:ascii="Verdana" w:hAnsi="Verdana"/>
          <w:bCs/>
          <w:sz w:val="20"/>
          <w:szCs w:val="20"/>
        </w:rPr>
        <w:t>he</w:t>
      </w:r>
      <w:r w:rsidR="00E21EF0">
        <w:rPr>
          <w:rFonts w:ascii="Verdana" w:hAnsi="Verdana"/>
          <w:bCs/>
          <w:sz w:val="20"/>
          <w:szCs w:val="20"/>
        </w:rPr>
        <w:t>refore, the</w:t>
      </w:r>
      <w:r w:rsidR="0058530F">
        <w:rPr>
          <w:rFonts w:ascii="Verdana" w:hAnsi="Verdana"/>
          <w:bCs/>
          <w:sz w:val="20"/>
          <w:szCs w:val="20"/>
        </w:rPr>
        <w:t xml:space="preserve"> agenda</w:t>
      </w:r>
      <w:r w:rsidR="00E21EF0">
        <w:rPr>
          <w:rFonts w:ascii="Verdana" w:hAnsi="Verdana"/>
          <w:bCs/>
          <w:sz w:val="20"/>
          <w:szCs w:val="20"/>
        </w:rPr>
        <w:t xml:space="preserve"> for the CAeM-16</w:t>
      </w:r>
      <w:r w:rsidR="0058530F">
        <w:rPr>
          <w:rFonts w:ascii="Verdana" w:hAnsi="Verdana"/>
          <w:bCs/>
          <w:sz w:val="20"/>
          <w:szCs w:val="20"/>
        </w:rPr>
        <w:t xml:space="preserve"> </w:t>
      </w:r>
      <w:r w:rsidR="00E21EF0">
        <w:rPr>
          <w:rFonts w:ascii="Verdana" w:hAnsi="Verdana"/>
          <w:bCs/>
          <w:sz w:val="20"/>
          <w:szCs w:val="20"/>
        </w:rPr>
        <w:t xml:space="preserve">should be developed in accordance with the WMO General Regulations, but also covering the new </w:t>
      </w:r>
      <w:r w:rsidR="002E2AFA">
        <w:rPr>
          <w:rFonts w:ascii="Verdana" w:hAnsi="Verdana"/>
          <w:bCs/>
          <w:sz w:val="20"/>
          <w:szCs w:val="20"/>
        </w:rPr>
        <w:t>tasks and challenges stemming from the GANP and ASBU.</w:t>
      </w:r>
    </w:p>
    <w:p w:rsidR="0058530F" w:rsidRPr="0058530F" w:rsidRDefault="0058530F" w:rsidP="0058530F">
      <w:pPr>
        <w:pStyle w:val="ListParagraph"/>
        <w:rPr>
          <w:rFonts w:ascii="Verdana" w:hAnsi="Verdana"/>
          <w:bCs/>
          <w:sz w:val="20"/>
          <w:szCs w:val="20"/>
        </w:rPr>
      </w:pPr>
    </w:p>
    <w:p w:rsidR="0058530F" w:rsidRDefault="0058530F" w:rsidP="004B578E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The MG noted that </w:t>
      </w:r>
      <w:r w:rsidR="004B578E">
        <w:rPr>
          <w:rFonts w:ascii="Verdana" w:hAnsi="Verdana"/>
          <w:bCs/>
          <w:sz w:val="20"/>
          <w:szCs w:val="20"/>
        </w:rPr>
        <w:t xml:space="preserve">a half </w:t>
      </w:r>
      <w:r>
        <w:rPr>
          <w:rFonts w:ascii="Verdana" w:hAnsi="Verdana"/>
          <w:bCs/>
          <w:sz w:val="20"/>
          <w:szCs w:val="20"/>
        </w:rPr>
        <w:t xml:space="preserve">working day immediately following the conclusion of </w:t>
      </w:r>
      <w:r w:rsidR="004B578E">
        <w:rPr>
          <w:rFonts w:ascii="Verdana" w:hAnsi="Verdana"/>
          <w:bCs/>
          <w:sz w:val="20"/>
          <w:szCs w:val="20"/>
        </w:rPr>
        <w:t xml:space="preserve">the </w:t>
      </w:r>
      <w:r>
        <w:rPr>
          <w:rFonts w:ascii="Verdana" w:hAnsi="Verdana"/>
          <w:bCs/>
          <w:sz w:val="20"/>
          <w:szCs w:val="20"/>
        </w:rPr>
        <w:t xml:space="preserve">CAeM-16 should be dedicated to the convening of a CAeM Management Group meeting. </w:t>
      </w:r>
    </w:p>
    <w:p w:rsidR="0094378B" w:rsidRPr="0056532F" w:rsidRDefault="0094378B" w:rsidP="0056532F">
      <w:pPr>
        <w:pStyle w:val="ListParagraph"/>
        <w:rPr>
          <w:rFonts w:ascii="Verdana" w:hAnsi="Verdana"/>
          <w:bCs/>
          <w:sz w:val="20"/>
          <w:szCs w:val="20"/>
        </w:rPr>
      </w:pPr>
    </w:p>
    <w:p w:rsidR="0094378B" w:rsidRDefault="0094378B" w:rsidP="0056532F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The MG noted that the third meeting of the ICAO MET Panel is a</w:t>
      </w:r>
      <w:r w:rsidR="00AF4CA4">
        <w:rPr>
          <w:rFonts w:ascii="Verdana" w:hAnsi="Verdana"/>
          <w:bCs/>
          <w:sz w:val="20"/>
          <w:szCs w:val="20"/>
        </w:rPr>
        <w:t>lso planned for the s</w:t>
      </w:r>
      <w:r>
        <w:rPr>
          <w:rFonts w:ascii="Verdana" w:hAnsi="Verdana"/>
          <w:bCs/>
          <w:sz w:val="20"/>
          <w:szCs w:val="20"/>
        </w:rPr>
        <w:t xml:space="preserve">ummer of 2018 and there has been some exchange on the possibility of organizing CAeM-16 and METP/3 as a joint meeting. While such an arrangement would have the advantage of gathering both ICAO and WMO MET communities in a conjoint type of event, there are organizational complications which should be further considered. The MG recommended in this regard, </w:t>
      </w:r>
      <w:r w:rsidRPr="0056532F">
        <w:rPr>
          <w:rFonts w:ascii="Verdana" w:hAnsi="Verdana"/>
          <w:bCs/>
          <w:sz w:val="20"/>
          <w:szCs w:val="20"/>
          <w:highlight w:val="yellow"/>
        </w:rPr>
        <w:t>&lt;</w:t>
      </w:r>
      <w:r>
        <w:rPr>
          <w:rFonts w:ascii="Verdana" w:hAnsi="Verdana"/>
          <w:bCs/>
          <w:sz w:val="20"/>
          <w:szCs w:val="20"/>
          <w:highlight w:val="yellow"/>
        </w:rPr>
        <w:t xml:space="preserve">text based on the </w:t>
      </w:r>
      <w:r w:rsidRPr="00043A2D">
        <w:rPr>
          <w:rFonts w:ascii="Verdana" w:hAnsi="Verdana"/>
          <w:bCs/>
          <w:sz w:val="20"/>
          <w:szCs w:val="20"/>
          <w:highlight w:val="yellow"/>
        </w:rPr>
        <w:t>agreements/decisions</w:t>
      </w:r>
      <w:r>
        <w:rPr>
          <w:rFonts w:ascii="Verdana" w:hAnsi="Verdana"/>
          <w:bCs/>
          <w:sz w:val="20"/>
          <w:szCs w:val="20"/>
          <w:highlight w:val="yellow"/>
        </w:rPr>
        <w:t xml:space="preserve"> of the meeting</w:t>
      </w:r>
      <w:r w:rsidRPr="0056532F">
        <w:rPr>
          <w:rFonts w:ascii="Verdana" w:hAnsi="Verdana"/>
          <w:bCs/>
          <w:sz w:val="20"/>
          <w:szCs w:val="20"/>
          <w:highlight w:val="yellow"/>
        </w:rPr>
        <w:t>&gt;</w:t>
      </w:r>
    </w:p>
    <w:p w:rsidR="0058530F" w:rsidRPr="0058530F" w:rsidRDefault="0058530F" w:rsidP="0058530F">
      <w:pPr>
        <w:pStyle w:val="ListParagraph"/>
        <w:rPr>
          <w:rFonts w:ascii="Verdana" w:hAnsi="Verdana"/>
          <w:bCs/>
          <w:sz w:val="20"/>
          <w:szCs w:val="20"/>
        </w:rPr>
      </w:pPr>
    </w:p>
    <w:p w:rsidR="006764E2" w:rsidRDefault="00043A2D" w:rsidP="00080926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 completing its consideration of the initial planning needs for CAeM-</w:t>
      </w:r>
      <w:r w:rsidR="00080926">
        <w:rPr>
          <w:rFonts w:ascii="Verdana" w:hAnsi="Verdana"/>
          <w:bCs/>
          <w:sz w:val="20"/>
          <w:szCs w:val="20"/>
        </w:rPr>
        <w:t>16</w:t>
      </w:r>
      <w:r>
        <w:rPr>
          <w:rFonts w:ascii="Verdana" w:hAnsi="Verdana"/>
          <w:bCs/>
          <w:sz w:val="20"/>
          <w:szCs w:val="20"/>
        </w:rPr>
        <w:t xml:space="preserve">, </w:t>
      </w:r>
      <w:r w:rsidR="0058530F">
        <w:rPr>
          <w:rFonts w:ascii="Verdana" w:hAnsi="Verdana"/>
          <w:bCs/>
          <w:sz w:val="20"/>
          <w:szCs w:val="20"/>
        </w:rPr>
        <w:t xml:space="preserve">including prospective dates and location, </w:t>
      </w:r>
      <w:r>
        <w:rPr>
          <w:rFonts w:ascii="Verdana" w:hAnsi="Verdana"/>
          <w:bCs/>
          <w:sz w:val="20"/>
          <w:szCs w:val="20"/>
        </w:rPr>
        <w:t xml:space="preserve">the MG </w:t>
      </w:r>
      <w:r w:rsidRPr="00043A2D">
        <w:rPr>
          <w:rFonts w:ascii="Verdana" w:hAnsi="Verdana"/>
          <w:bCs/>
          <w:sz w:val="20"/>
          <w:szCs w:val="20"/>
          <w:highlight w:val="yellow"/>
        </w:rPr>
        <w:t>&lt;</w:t>
      </w:r>
      <w:r w:rsidR="00E315DB">
        <w:rPr>
          <w:rFonts w:ascii="Verdana" w:hAnsi="Verdana"/>
          <w:bCs/>
          <w:sz w:val="20"/>
          <w:szCs w:val="20"/>
          <w:highlight w:val="yellow"/>
        </w:rPr>
        <w:t xml:space="preserve">text based on the </w:t>
      </w:r>
      <w:r w:rsidRPr="00043A2D">
        <w:rPr>
          <w:rFonts w:ascii="Verdana" w:hAnsi="Verdana"/>
          <w:bCs/>
          <w:sz w:val="20"/>
          <w:szCs w:val="20"/>
          <w:highlight w:val="yellow"/>
        </w:rPr>
        <w:t>agreements/decisions</w:t>
      </w:r>
      <w:r w:rsidR="00E315DB">
        <w:rPr>
          <w:rFonts w:ascii="Verdana" w:hAnsi="Verdana"/>
          <w:bCs/>
          <w:sz w:val="20"/>
          <w:szCs w:val="20"/>
          <w:highlight w:val="yellow"/>
        </w:rPr>
        <w:t xml:space="preserve"> of the meeting</w:t>
      </w:r>
      <w:r w:rsidRPr="00043A2D">
        <w:rPr>
          <w:rFonts w:ascii="Verdana" w:hAnsi="Verdana"/>
          <w:bCs/>
          <w:sz w:val="20"/>
          <w:szCs w:val="20"/>
          <w:highlight w:val="yellow"/>
        </w:rPr>
        <w:t>&gt;</w:t>
      </w:r>
      <w:r>
        <w:rPr>
          <w:rFonts w:ascii="Verdana" w:hAnsi="Verdana"/>
          <w:bCs/>
          <w:sz w:val="20"/>
          <w:szCs w:val="20"/>
        </w:rPr>
        <w:t>.</w:t>
      </w:r>
    </w:p>
    <w:p w:rsidR="006764E2" w:rsidRPr="00F00457" w:rsidRDefault="006764E2" w:rsidP="006764E2">
      <w:pPr>
        <w:pStyle w:val="ListParagraph"/>
        <w:rPr>
          <w:rFonts w:ascii="Verdana" w:hAnsi="Verdana"/>
          <w:bCs/>
          <w:sz w:val="20"/>
          <w:szCs w:val="20"/>
        </w:rPr>
      </w:pPr>
    </w:p>
    <w:p w:rsidR="006764E2" w:rsidRPr="00E65226" w:rsidRDefault="005C1CD0" w:rsidP="006764E2">
      <w:pPr>
        <w:pStyle w:val="ListParagraph"/>
        <w:ind w:left="0"/>
        <w:jc w:val="both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>Technical conference</w:t>
      </w:r>
    </w:p>
    <w:p w:rsidR="006764E2" w:rsidRPr="00720557" w:rsidRDefault="006764E2" w:rsidP="006764E2">
      <w:pPr>
        <w:pStyle w:val="ListParagraph"/>
        <w:ind w:left="0"/>
        <w:jc w:val="both"/>
        <w:rPr>
          <w:rFonts w:ascii="Verdana" w:hAnsi="Verdana"/>
          <w:bCs/>
          <w:sz w:val="20"/>
          <w:szCs w:val="20"/>
        </w:rPr>
      </w:pPr>
    </w:p>
    <w:p w:rsidR="006764E2" w:rsidRDefault="005C1CD0" w:rsidP="0058530F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Building on the successful model for a Technical Conference (TECO) used at each of the last two CAeM sessions (CAeM-14 in 2010 and CAeM-15 in 2014), </w:t>
      </w:r>
      <w:r w:rsidR="0058530F">
        <w:rPr>
          <w:rFonts w:ascii="Verdana" w:hAnsi="Verdana"/>
          <w:bCs/>
          <w:sz w:val="20"/>
          <w:szCs w:val="20"/>
        </w:rPr>
        <w:t xml:space="preserve">and taking into account the above considerations, </w:t>
      </w:r>
      <w:r>
        <w:rPr>
          <w:rFonts w:ascii="Verdana" w:hAnsi="Verdana"/>
          <w:bCs/>
          <w:sz w:val="20"/>
          <w:szCs w:val="20"/>
        </w:rPr>
        <w:t xml:space="preserve">the MG agreed that </w:t>
      </w:r>
      <w:r w:rsidR="0058530F">
        <w:rPr>
          <w:rFonts w:ascii="Verdana" w:hAnsi="Verdana"/>
          <w:bCs/>
          <w:sz w:val="20"/>
          <w:szCs w:val="20"/>
        </w:rPr>
        <w:t>1.5</w:t>
      </w:r>
      <w:r>
        <w:rPr>
          <w:rFonts w:ascii="Verdana" w:hAnsi="Verdana"/>
          <w:bCs/>
          <w:sz w:val="20"/>
          <w:szCs w:val="20"/>
        </w:rPr>
        <w:t xml:space="preserve"> </w:t>
      </w:r>
      <w:r w:rsidR="0058530F">
        <w:rPr>
          <w:rFonts w:ascii="Verdana" w:hAnsi="Verdana"/>
          <w:bCs/>
          <w:sz w:val="20"/>
          <w:szCs w:val="20"/>
        </w:rPr>
        <w:t xml:space="preserve">working </w:t>
      </w:r>
      <w:r>
        <w:rPr>
          <w:rFonts w:ascii="Verdana" w:hAnsi="Verdana"/>
          <w:bCs/>
          <w:sz w:val="20"/>
          <w:szCs w:val="20"/>
        </w:rPr>
        <w:t xml:space="preserve">days should be </w:t>
      </w:r>
      <w:r w:rsidR="002334F9">
        <w:rPr>
          <w:rFonts w:ascii="Verdana" w:hAnsi="Verdana"/>
          <w:bCs/>
          <w:sz w:val="20"/>
          <w:szCs w:val="20"/>
        </w:rPr>
        <w:t xml:space="preserve">dedicated to conducting </w:t>
      </w:r>
      <w:r w:rsidR="00E315DB">
        <w:rPr>
          <w:rFonts w:ascii="Verdana" w:hAnsi="Verdana"/>
          <w:bCs/>
          <w:sz w:val="20"/>
          <w:szCs w:val="20"/>
        </w:rPr>
        <w:t xml:space="preserve">TECO </w:t>
      </w:r>
      <w:r w:rsidR="002334F9">
        <w:rPr>
          <w:rFonts w:ascii="Verdana" w:hAnsi="Verdana"/>
          <w:bCs/>
          <w:sz w:val="20"/>
          <w:szCs w:val="20"/>
        </w:rPr>
        <w:t xml:space="preserve">plenary keynote presentations </w:t>
      </w:r>
      <w:r w:rsidR="0026185A">
        <w:rPr>
          <w:rFonts w:ascii="Verdana" w:hAnsi="Verdana"/>
          <w:bCs/>
          <w:sz w:val="20"/>
          <w:szCs w:val="20"/>
        </w:rPr>
        <w:t>as well as</w:t>
      </w:r>
      <w:r w:rsidR="002334F9">
        <w:rPr>
          <w:rFonts w:ascii="Verdana" w:hAnsi="Verdana"/>
          <w:bCs/>
          <w:sz w:val="20"/>
          <w:szCs w:val="20"/>
        </w:rPr>
        <w:t xml:space="preserve"> break-out group discussions </w:t>
      </w:r>
      <w:r w:rsidR="0026185A">
        <w:rPr>
          <w:rFonts w:ascii="Verdana" w:hAnsi="Verdana"/>
          <w:bCs/>
          <w:sz w:val="20"/>
          <w:szCs w:val="20"/>
        </w:rPr>
        <w:t>that would report</w:t>
      </w:r>
      <w:r w:rsidR="002334F9">
        <w:rPr>
          <w:rFonts w:ascii="Verdana" w:hAnsi="Verdana"/>
          <w:bCs/>
          <w:sz w:val="20"/>
          <w:szCs w:val="20"/>
        </w:rPr>
        <w:t xml:space="preserve"> back to plenary, and that a report stemming from the TECO plenary should be submitted to CAeM-16 in the form of an information paper.</w:t>
      </w:r>
      <w:r w:rsidR="0058530F">
        <w:rPr>
          <w:rFonts w:ascii="Verdana" w:hAnsi="Verdana"/>
          <w:bCs/>
          <w:sz w:val="20"/>
          <w:szCs w:val="20"/>
        </w:rPr>
        <w:t xml:space="preserve"> </w:t>
      </w:r>
    </w:p>
    <w:p w:rsidR="006764E2" w:rsidRPr="00720557" w:rsidRDefault="006764E2" w:rsidP="006764E2">
      <w:pPr>
        <w:pStyle w:val="ListParagraph"/>
        <w:ind w:left="0"/>
        <w:jc w:val="both"/>
        <w:rPr>
          <w:rFonts w:ascii="Verdana" w:hAnsi="Verdana"/>
          <w:bCs/>
          <w:sz w:val="20"/>
          <w:szCs w:val="20"/>
        </w:rPr>
      </w:pPr>
    </w:p>
    <w:p w:rsidR="005F1851" w:rsidRDefault="002334F9" w:rsidP="00E315DB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F1851">
        <w:rPr>
          <w:rFonts w:ascii="Verdana" w:hAnsi="Verdana"/>
          <w:bCs/>
          <w:sz w:val="20"/>
          <w:szCs w:val="20"/>
        </w:rPr>
        <w:t>In this connection, the MG agreed on the need to establish the dates of the TECO (</w:t>
      </w:r>
      <w:r w:rsidR="00940E95" w:rsidRPr="005F1851">
        <w:rPr>
          <w:rFonts w:ascii="Verdana" w:hAnsi="Verdana"/>
          <w:bCs/>
          <w:sz w:val="20"/>
          <w:szCs w:val="20"/>
        </w:rPr>
        <w:t xml:space="preserve">noting that it may be prudent to conduct the TECO during the </w:t>
      </w:r>
      <w:r w:rsidR="0058530F">
        <w:rPr>
          <w:rFonts w:ascii="Verdana" w:hAnsi="Verdana"/>
          <w:bCs/>
          <w:sz w:val="20"/>
          <w:szCs w:val="20"/>
        </w:rPr>
        <w:t>1.5</w:t>
      </w:r>
      <w:r w:rsidRPr="005F1851">
        <w:rPr>
          <w:rFonts w:ascii="Verdana" w:hAnsi="Verdana"/>
          <w:bCs/>
          <w:sz w:val="20"/>
          <w:szCs w:val="20"/>
        </w:rPr>
        <w:t xml:space="preserve"> working days immediately prior to the </w:t>
      </w:r>
      <w:r w:rsidR="00940E95" w:rsidRPr="005F1851">
        <w:rPr>
          <w:rFonts w:ascii="Verdana" w:hAnsi="Verdana"/>
          <w:bCs/>
          <w:sz w:val="20"/>
          <w:szCs w:val="20"/>
        </w:rPr>
        <w:t>commencement of CAeM-16</w:t>
      </w:r>
      <w:r w:rsidRPr="005F1851">
        <w:rPr>
          <w:rFonts w:ascii="Verdana" w:hAnsi="Verdana"/>
          <w:bCs/>
          <w:sz w:val="20"/>
          <w:szCs w:val="20"/>
        </w:rPr>
        <w:t>), the theme and title of the TECO and the expected outcomes</w:t>
      </w:r>
      <w:r w:rsidR="00940E95" w:rsidRPr="005F1851">
        <w:rPr>
          <w:rFonts w:ascii="Verdana" w:hAnsi="Verdana"/>
          <w:bCs/>
          <w:sz w:val="20"/>
          <w:szCs w:val="20"/>
        </w:rPr>
        <w:t xml:space="preserve"> of the TECO</w:t>
      </w:r>
      <w:r w:rsidRPr="005F1851">
        <w:rPr>
          <w:rFonts w:ascii="Verdana" w:hAnsi="Verdana"/>
          <w:bCs/>
          <w:sz w:val="20"/>
          <w:szCs w:val="20"/>
        </w:rPr>
        <w:t xml:space="preserve">. As with </w:t>
      </w:r>
      <w:r w:rsidR="00940E95" w:rsidRPr="005F1851">
        <w:rPr>
          <w:rFonts w:ascii="Verdana" w:hAnsi="Verdana"/>
          <w:bCs/>
          <w:sz w:val="20"/>
          <w:szCs w:val="20"/>
        </w:rPr>
        <w:t xml:space="preserve">the </w:t>
      </w:r>
      <w:r w:rsidRPr="005F1851">
        <w:rPr>
          <w:rFonts w:ascii="Verdana" w:hAnsi="Verdana"/>
          <w:bCs/>
          <w:sz w:val="20"/>
          <w:szCs w:val="20"/>
        </w:rPr>
        <w:t>TECO</w:t>
      </w:r>
      <w:r w:rsidR="00940E95" w:rsidRPr="005F1851">
        <w:rPr>
          <w:rFonts w:ascii="Verdana" w:hAnsi="Verdana"/>
          <w:bCs/>
          <w:sz w:val="20"/>
          <w:szCs w:val="20"/>
        </w:rPr>
        <w:t xml:space="preserve"> in 2014</w:t>
      </w:r>
      <w:r w:rsidRPr="005F1851">
        <w:rPr>
          <w:rFonts w:ascii="Verdana" w:hAnsi="Verdana"/>
          <w:bCs/>
          <w:sz w:val="20"/>
          <w:szCs w:val="20"/>
        </w:rPr>
        <w:t xml:space="preserve">, the MG agreed that the </w:t>
      </w:r>
      <w:r w:rsidR="00940E95" w:rsidRPr="005F1851">
        <w:rPr>
          <w:rFonts w:ascii="Verdana" w:hAnsi="Verdana"/>
          <w:bCs/>
          <w:sz w:val="20"/>
          <w:szCs w:val="20"/>
        </w:rPr>
        <w:t xml:space="preserve">evolving </w:t>
      </w:r>
      <w:r w:rsidRPr="005F1851">
        <w:rPr>
          <w:rFonts w:ascii="Verdana" w:hAnsi="Verdana"/>
          <w:bCs/>
          <w:sz w:val="20"/>
          <w:szCs w:val="20"/>
        </w:rPr>
        <w:t>ICAO Global Air Navigation Plan (GANP) and its aviation system block upgrades (ASBU) methodology</w:t>
      </w:r>
      <w:r w:rsidR="00940E95" w:rsidRPr="005F1851">
        <w:rPr>
          <w:rFonts w:ascii="Verdana" w:hAnsi="Verdana"/>
          <w:bCs/>
          <w:sz w:val="20"/>
          <w:szCs w:val="20"/>
        </w:rPr>
        <w:t>, together with other emerging issues</w:t>
      </w:r>
      <w:r w:rsidR="00080926">
        <w:rPr>
          <w:rFonts w:ascii="Verdana" w:hAnsi="Verdana"/>
          <w:bCs/>
          <w:sz w:val="20"/>
          <w:szCs w:val="20"/>
        </w:rPr>
        <w:t xml:space="preserve"> and relevant topics</w:t>
      </w:r>
      <w:r w:rsidR="00940E95" w:rsidRPr="005F1851">
        <w:rPr>
          <w:rFonts w:ascii="Verdana" w:hAnsi="Verdana"/>
          <w:bCs/>
          <w:sz w:val="20"/>
          <w:szCs w:val="20"/>
        </w:rPr>
        <w:t xml:space="preserve"> </w:t>
      </w:r>
      <w:r w:rsidRPr="005F1851">
        <w:rPr>
          <w:rFonts w:ascii="Verdana" w:hAnsi="Verdana"/>
          <w:bCs/>
          <w:sz w:val="20"/>
          <w:szCs w:val="20"/>
        </w:rPr>
        <w:t xml:space="preserve">should, to </w:t>
      </w:r>
      <w:r w:rsidR="0026185A">
        <w:rPr>
          <w:rFonts w:ascii="Verdana" w:hAnsi="Verdana"/>
          <w:bCs/>
          <w:sz w:val="20"/>
          <w:szCs w:val="20"/>
        </w:rPr>
        <w:t>a</w:t>
      </w:r>
      <w:r w:rsidRPr="005F1851">
        <w:rPr>
          <w:rFonts w:ascii="Verdana" w:hAnsi="Verdana"/>
          <w:bCs/>
          <w:sz w:val="20"/>
          <w:szCs w:val="20"/>
        </w:rPr>
        <w:t xml:space="preserve"> great exten</w:t>
      </w:r>
      <w:r w:rsidR="00940E95" w:rsidRPr="005F1851">
        <w:rPr>
          <w:rFonts w:ascii="Verdana" w:hAnsi="Verdana"/>
          <w:bCs/>
          <w:sz w:val="20"/>
          <w:szCs w:val="20"/>
        </w:rPr>
        <w:t xml:space="preserve">t, serve as inspiration for the </w:t>
      </w:r>
      <w:r w:rsidR="00E315DB">
        <w:rPr>
          <w:rFonts w:ascii="Verdana" w:hAnsi="Verdana"/>
          <w:bCs/>
          <w:sz w:val="20"/>
          <w:szCs w:val="20"/>
        </w:rPr>
        <w:t>theme and content</w:t>
      </w:r>
      <w:r w:rsidR="00940E95" w:rsidRPr="005F1851">
        <w:rPr>
          <w:rFonts w:ascii="Verdana" w:hAnsi="Verdana"/>
          <w:bCs/>
          <w:sz w:val="20"/>
          <w:szCs w:val="20"/>
        </w:rPr>
        <w:t xml:space="preserve"> of the</w:t>
      </w:r>
      <w:r w:rsidR="00E315DB">
        <w:rPr>
          <w:rFonts w:ascii="Verdana" w:hAnsi="Verdana"/>
          <w:bCs/>
          <w:sz w:val="20"/>
          <w:szCs w:val="20"/>
        </w:rPr>
        <w:t xml:space="preserve"> TECO</w:t>
      </w:r>
      <w:r w:rsidR="00940E95" w:rsidRPr="005F1851">
        <w:rPr>
          <w:rFonts w:ascii="Verdana" w:hAnsi="Verdana"/>
          <w:bCs/>
          <w:sz w:val="20"/>
          <w:szCs w:val="20"/>
        </w:rPr>
        <w:t>.</w:t>
      </w:r>
      <w:r w:rsidR="005F1851" w:rsidRPr="005F1851">
        <w:rPr>
          <w:rFonts w:ascii="Verdana" w:hAnsi="Verdana"/>
          <w:bCs/>
          <w:sz w:val="20"/>
          <w:szCs w:val="20"/>
        </w:rPr>
        <w:t xml:space="preserve"> </w:t>
      </w:r>
    </w:p>
    <w:p w:rsidR="00EA56F1" w:rsidRDefault="00EA56F1" w:rsidP="00EA56F1">
      <w:pPr>
        <w:pStyle w:val="ListParagraph"/>
        <w:rPr>
          <w:rFonts w:ascii="Verdana" w:hAnsi="Verdana"/>
          <w:bCs/>
          <w:sz w:val="20"/>
          <w:szCs w:val="20"/>
        </w:rPr>
      </w:pPr>
    </w:p>
    <w:p w:rsidR="00AF4CA4" w:rsidRDefault="00AF4CA4" w:rsidP="00EA56F1">
      <w:pPr>
        <w:pStyle w:val="ListParagraph"/>
        <w:rPr>
          <w:rFonts w:ascii="Verdana" w:hAnsi="Verdana"/>
          <w:bCs/>
          <w:sz w:val="20"/>
          <w:szCs w:val="20"/>
        </w:rPr>
      </w:pPr>
    </w:p>
    <w:p w:rsidR="00AF4CA4" w:rsidRDefault="00AF4CA4" w:rsidP="00EA56F1">
      <w:pPr>
        <w:pStyle w:val="ListParagraph"/>
        <w:rPr>
          <w:rFonts w:ascii="Verdana" w:hAnsi="Verdana"/>
          <w:bCs/>
          <w:sz w:val="20"/>
          <w:szCs w:val="20"/>
        </w:rPr>
      </w:pPr>
    </w:p>
    <w:p w:rsidR="00AF4CA4" w:rsidRPr="00EA56F1" w:rsidRDefault="00AF4CA4" w:rsidP="00EA56F1">
      <w:pPr>
        <w:pStyle w:val="ListParagraph"/>
        <w:rPr>
          <w:rFonts w:ascii="Verdana" w:hAnsi="Verdana"/>
          <w:bCs/>
          <w:sz w:val="20"/>
          <w:szCs w:val="20"/>
        </w:rPr>
      </w:pPr>
    </w:p>
    <w:p w:rsidR="00EA56F1" w:rsidRDefault="00EA56F1" w:rsidP="0058530F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 view of the foregoing, the MG noted that the running order </w:t>
      </w:r>
      <w:r w:rsidR="00E315DB">
        <w:rPr>
          <w:rFonts w:ascii="Verdana" w:hAnsi="Verdana"/>
          <w:bCs/>
          <w:sz w:val="20"/>
          <w:szCs w:val="20"/>
        </w:rPr>
        <w:t xml:space="preserve">of TECO, CAeM-16 and CAeM-MG </w:t>
      </w:r>
      <w:r>
        <w:rPr>
          <w:rFonts w:ascii="Verdana" w:hAnsi="Verdana"/>
          <w:bCs/>
          <w:sz w:val="20"/>
          <w:szCs w:val="20"/>
        </w:rPr>
        <w:t>could, conceivably, be as follows:</w:t>
      </w:r>
    </w:p>
    <w:p w:rsidR="00EA56F1" w:rsidRPr="00EA56F1" w:rsidRDefault="00EA56F1" w:rsidP="00EA56F1">
      <w:pPr>
        <w:pStyle w:val="ListParagraph"/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896"/>
        <w:gridCol w:w="1134"/>
        <w:gridCol w:w="1134"/>
        <w:gridCol w:w="1276"/>
        <w:gridCol w:w="1276"/>
        <w:gridCol w:w="1275"/>
        <w:gridCol w:w="850"/>
      </w:tblGrid>
      <w:tr w:rsidR="00EA56F1" w:rsidRPr="00EA56F1" w:rsidTr="00EA56F1">
        <w:tc>
          <w:tcPr>
            <w:tcW w:w="1339" w:type="dxa"/>
          </w:tcPr>
          <w:p w:rsidR="00EA56F1" w:rsidRPr="00EA56F1" w:rsidRDefault="00EA56F1" w:rsidP="00EA56F1">
            <w:pPr>
              <w:pStyle w:val="ListParagraph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A56F1" w:rsidRP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6F1">
              <w:rPr>
                <w:rFonts w:ascii="Verdana" w:hAnsi="Verdana"/>
                <w:b/>
                <w:sz w:val="20"/>
                <w:szCs w:val="20"/>
              </w:rPr>
              <w:t>Sun</w:t>
            </w:r>
          </w:p>
        </w:tc>
        <w:tc>
          <w:tcPr>
            <w:tcW w:w="1134" w:type="dxa"/>
          </w:tcPr>
          <w:p w:rsidR="00EA56F1" w:rsidRP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6F1">
              <w:rPr>
                <w:rFonts w:ascii="Verdana" w:hAnsi="Verdana"/>
                <w:b/>
                <w:sz w:val="20"/>
                <w:szCs w:val="20"/>
              </w:rPr>
              <w:t>Mon</w:t>
            </w:r>
          </w:p>
        </w:tc>
        <w:tc>
          <w:tcPr>
            <w:tcW w:w="1134" w:type="dxa"/>
          </w:tcPr>
          <w:p w:rsidR="00EA56F1" w:rsidRP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6F1">
              <w:rPr>
                <w:rFonts w:ascii="Verdana" w:hAnsi="Verdana"/>
                <w:b/>
                <w:sz w:val="20"/>
                <w:szCs w:val="20"/>
              </w:rPr>
              <w:t>Tue</w:t>
            </w:r>
          </w:p>
        </w:tc>
        <w:tc>
          <w:tcPr>
            <w:tcW w:w="1276" w:type="dxa"/>
          </w:tcPr>
          <w:p w:rsidR="00EA56F1" w:rsidRP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6F1">
              <w:rPr>
                <w:rFonts w:ascii="Verdana" w:hAnsi="Verdana"/>
                <w:b/>
                <w:sz w:val="20"/>
                <w:szCs w:val="20"/>
              </w:rPr>
              <w:t>Wed</w:t>
            </w:r>
          </w:p>
        </w:tc>
        <w:tc>
          <w:tcPr>
            <w:tcW w:w="1276" w:type="dxa"/>
          </w:tcPr>
          <w:p w:rsidR="00EA56F1" w:rsidRP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6F1">
              <w:rPr>
                <w:rFonts w:ascii="Verdana" w:hAnsi="Verdana"/>
                <w:b/>
                <w:sz w:val="20"/>
                <w:szCs w:val="20"/>
              </w:rPr>
              <w:t>Thu</w:t>
            </w:r>
          </w:p>
        </w:tc>
        <w:tc>
          <w:tcPr>
            <w:tcW w:w="1275" w:type="dxa"/>
          </w:tcPr>
          <w:p w:rsidR="00EA56F1" w:rsidRP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6F1">
              <w:rPr>
                <w:rFonts w:ascii="Verdana" w:hAnsi="Verdana"/>
                <w:b/>
                <w:sz w:val="20"/>
                <w:szCs w:val="20"/>
              </w:rPr>
              <w:t>Fri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56F1" w:rsidRP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6F1">
              <w:rPr>
                <w:rFonts w:ascii="Verdana" w:hAnsi="Verdana"/>
                <w:b/>
                <w:sz w:val="20"/>
                <w:szCs w:val="20"/>
              </w:rPr>
              <w:t>Sat</w:t>
            </w:r>
          </w:p>
        </w:tc>
      </w:tr>
      <w:tr w:rsidR="00EA56F1" w:rsidTr="00EA56F1">
        <w:tc>
          <w:tcPr>
            <w:tcW w:w="1339" w:type="dxa"/>
          </w:tcPr>
          <w:p w:rsidR="00EA56F1" w:rsidRPr="00EA56F1" w:rsidRDefault="00EA56F1" w:rsidP="00EA56F1">
            <w:pPr>
              <w:pStyle w:val="ListParagraph"/>
              <w:ind w:left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A56F1">
              <w:rPr>
                <w:rFonts w:ascii="Verdana" w:hAnsi="Verdana"/>
                <w:b/>
                <w:sz w:val="20"/>
                <w:szCs w:val="20"/>
              </w:rPr>
              <w:t>Morning</w:t>
            </w:r>
          </w:p>
        </w:tc>
        <w:tc>
          <w:tcPr>
            <w:tcW w:w="896" w:type="dxa"/>
            <w:shd w:val="diagStripe" w:color="auto" w:fill="auto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TECO</w:t>
            </w:r>
          </w:p>
        </w:tc>
        <w:tc>
          <w:tcPr>
            <w:tcW w:w="1134" w:type="dxa"/>
            <w:shd w:val="clear" w:color="auto" w:fill="FFFF00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TECO</w:t>
            </w:r>
          </w:p>
        </w:tc>
        <w:tc>
          <w:tcPr>
            <w:tcW w:w="1276" w:type="dxa"/>
            <w:shd w:val="clear" w:color="auto" w:fill="92D050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CAeM-16</w:t>
            </w:r>
          </w:p>
        </w:tc>
        <w:tc>
          <w:tcPr>
            <w:tcW w:w="1276" w:type="dxa"/>
            <w:shd w:val="clear" w:color="auto" w:fill="92D050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CAeM-16</w:t>
            </w:r>
          </w:p>
        </w:tc>
        <w:tc>
          <w:tcPr>
            <w:tcW w:w="1275" w:type="dxa"/>
            <w:shd w:val="clear" w:color="auto" w:fill="92D050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CAeM-16</w:t>
            </w:r>
          </w:p>
        </w:tc>
        <w:tc>
          <w:tcPr>
            <w:tcW w:w="850" w:type="dxa"/>
            <w:shd w:val="diagStripe" w:color="auto" w:fill="auto"/>
          </w:tcPr>
          <w:p w:rsidR="00EA56F1" w:rsidRDefault="00EA56F1" w:rsidP="007824A7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A56F1" w:rsidTr="00EA56F1">
        <w:tc>
          <w:tcPr>
            <w:tcW w:w="1339" w:type="dxa"/>
          </w:tcPr>
          <w:p w:rsidR="00EA56F1" w:rsidRPr="00EA56F1" w:rsidRDefault="00EA56F1" w:rsidP="00EA56F1">
            <w:pPr>
              <w:pStyle w:val="ListParagraph"/>
              <w:ind w:left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A56F1">
              <w:rPr>
                <w:rFonts w:ascii="Verdana" w:hAnsi="Verdana"/>
                <w:b/>
                <w:sz w:val="20"/>
                <w:szCs w:val="20"/>
              </w:rPr>
              <w:t>Afternoon</w:t>
            </w:r>
          </w:p>
        </w:tc>
        <w:tc>
          <w:tcPr>
            <w:tcW w:w="896" w:type="dxa"/>
            <w:shd w:val="diagStripe" w:color="auto" w:fill="auto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TECO</w:t>
            </w:r>
          </w:p>
        </w:tc>
        <w:tc>
          <w:tcPr>
            <w:tcW w:w="1134" w:type="dxa"/>
            <w:shd w:val="clear" w:color="auto" w:fill="92D050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CAeM-16</w:t>
            </w:r>
          </w:p>
        </w:tc>
        <w:tc>
          <w:tcPr>
            <w:tcW w:w="1276" w:type="dxa"/>
            <w:shd w:val="clear" w:color="auto" w:fill="92D050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CAeM-16</w:t>
            </w:r>
          </w:p>
        </w:tc>
        <w:tc>
          <w:tcPr>
            <w:tcW w:w="1276" w:type="dxa"/>
            <w:shd w:val="clear" w:color="auto" w:fill="92D050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CAeM-16</w:t>
            </w:r>
          </w:p>
        </w:tc>
        <w:tc>
          <w:tcPr>
            <w:tcW w:w="1275" w:type="dxa"/>
            <w:shd w:val="clear" w:color="auto" w:fill="00B0F0"/>
          </w:tcPr>
          <w:p w:rsidR="00EA56F1" w:rsidRDefault="00EA56F1" w:rsidP="00EA56F1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CAeM-MG</w:t>
            </w:r>
          </w:p>
        </w:tc>
        <w:tc>
          <w:tcPr>
            <w:tcW w:w="850" w:type="dxa"/>
            <w:shd w:val="diagStripe" w:color="auto" w:fill="auto"/>
          </w:tcPr>
          <w:p w:rsidR="00EA56F1" w:rsidRDefault="00EA56F1" w:rsidP="007824A7">
            <w:pPr>
              <w:pStyle w:val="ListParagraph"/>
              <w:ind w:left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080926" w:rsidRPr="00080926" w:rsidRDefault="00080926" w:rsidP="00080926">
      <w:pPr>
        <w:pStyle w:val="ListParagraph"/>
        <w:rPr>
          <w:rFonts w:ascii="Verdana" w:hAnsi="Verdana"/>
          <w:bCs/>
          <w:sz w:val="20"/>
          <w:szCs w:val="20"/>
        </w:rPr>
      </w:pPr>
    </w:p>
    <w:p w:rsidR="00080926" w:rsidRPr="00080926" w:rsidRDefault="00080926" w:rsidP="00382765">
      <w:pPr>
        <w:pStyle w:val="ListParagraph"/>
        <w:ind w:left="0"/>
        <w:jc w:val="both"/>
        <w:rPr>
          <w:rFonts w:ascii="Verdana" w:hAnsi="Verdana"/>
          <w:b/>
          <w:i/>
          <w:iCs/>
          <w:sz w:val="20"/>
          <w:szCs w:val="20"/>
        </w:rPr>
      </w:pPr>
      <w:r w:rsidRPr="00080926">
        <w:rPr>
          <w:rFonts w:ascii="Verdana" w:hAnsi="Verdana"/>
          <w:b/>
          <w:i/>
          <w:iCs/>
          <w:sz w:val="20"/>
          <w:szCs w:val="20"/>
        </w:rPr>
        <w:t>CAeM</w:t>
      </w:r>
      <w:r w:rsidR="002E2AFA">
        <w:rPr>
          <w:rFonts w:ascii="Verdana" w:hAnsi="Verdana"/>
          <w:b/>
          <w:i/>
          <w:iCs/>
          <w:sz w:val="20"/>
          <w:szCs w:val="20"/>
        </w:rPr>
        <w:t>-16</w:t>
      </w:r>
      <w:r w:rsidRPr="00080926">
        <w:rPr>
          <w:rFonts w:ascii="Verdana" w:hAnsi="Verdana"/>
          <w:b/>
          <w:i/>
          <w:iCs/>
          <w:sz w:val="20"/>
          <w:szCs w:val="20"/>
        </w:rPr>
        <w:t xml:space="preserve"> and TECO</w:t>
      </w:r>
      <w:r w:rsidR="00382765">
        <w:rPr>
          <w:rFonts w:ascii="Verdana" w:hAnsi="Verdana"/>
          <w:b/>
          <w:i/>
          <w:iCs/>
          <w:sz w:val="20"/>
          <w:szCs w:val="20"/>
        </w:rPr>
        <w:t xml:space="preserve"> Organizing C</w:t>
      </w:r>
      <w:r w:rsidRPr="00080926">
        <w:rPr>
          <w:rFonts w:ascii="Verdana" w:hAnsi="Verdana"/>
          <w:b/>
          <w:i/>
          <w:iCs/>
          <w:sz w:val="20"/>
          <w:szCs w:val="20"/>
        </w:rPr>
        <w:t>ommittee</w:t>
      </w:r>
    </w:p>
    <w:p w:rsidR="005F1851" w:rsidRPr="005F1851" w:rsidRDefault="005F1851" w:rsidP="005F1851">
      <w:pPr>
        <w:pStyle w:val="ListParagraph"/>
        <w:rPr>
          <w:rFonts w:ascii="Verdana" w:hAnsi="Verdana"/>
          <w:bCs/>
          <w:sz w:val="20"/>
          <w:szCs w:val="20"/>
        </w:rPr>
      </w:pPr>
    </w:p>
    <w:p w:rsidR="00940E95" w:rsidRPr="005F1851" w:rsidRDefault="00080926" w:rsidP="0056532F">
      <w:pPr>
        <w:pStyle w:val="ListParagraph"/>
        <w:numPr>
          <w:ilvl w:val="1"/>
          <w:numId w:val="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</w:t>
      </w:r>
      <w:r w:rsidR="00940E95" w:rsidRPr="005F1851">
        <w:rPr>
          <w:rFonts w:ascii="Verdana" w:hAnsi="Verdana"/>
          <w:bCs/>
          <w:sz w:val="20"/>
          <w:szCs w:val="20"/>
        </w:rPr>
        <w:t xml:space="preserve">cknowledging the extensive planning, preparation and coordination required to organize a </w:t>
      </w:r>
      <w:r>
        <w:rPr>
          <w:rFonts w:ascii="Verdana" w:hAnsi="Verdana"/>
          <w:bCs/>
          <w:sz w:val="20"/>
          <w:szCs w:val="20"/>
        </w:rPr>
        <w:t xml:space="preserve">CAeM session and </w:t>
      </w:r>
      <w:r w:rsidR="00940E95" w:rsidRPr="005F1851">
        <w:rPr>
          <w:rFonts w:ascii="Verdana" w:hAnsi="Verdana"/>
          <w:bCs/>
          <w:sz w:val="20"/>
          <w:szCs w:val="20"/>
        </w:rPr>
        <w:t xml:space="preserve">TECO </w:t>
      </w:r>
      <w:r>
        <w:rPr>
          <w:rFonts w:ascii="Verdana" w:hAnsi="Verdana"/>
          <w:bCs/>
          <w:sz w:val="20"/>
          <w:szCs w:val="20"/>
        </w:rPr>
        <w:t xml:space="preserve">back-to-back, </w:t>
      </w:r>
      <w:r w:rsidR="00940E95" w:rsidRPr="005F1851">
        <w:rPr>
          <w:rFonts w:ascii="Verdana" w:hAnsi="Verdana"/>
          <w:bCs/>
          <w:sz w:val="20"/>
          <w:szCs w:val="20"/>
        </w:rPr>
        <w:t xml:space="preserve">the MG </w:t>
      </w:r>
      <w:r>
        <w:rPr>
          <w:rFonts w:ascii="Verdana" w:hAnsi="Verdana"/>
          <w:bCs/>
          <w:sz w:val="20"/>
          <w:szCs w:val="20"/>
        </w:rPr>
        <w:t xml:space="preserve">agreed to </w:t>
      </w:r>
      <w:r w:rsidR="00940E95" w:rsidRPr="005F1851">
        <w:rPr>
          <w:rFonts w:ascii="Verdana" w:hAnsi="Verdana"/>
          <w:bCs/>
          <w:sz w:val="20"/>
          <w:szCs w:val="20"/>
        </w:rPr>
        <w:t>establish a</w:t>
      </w:r>
      <w:r>
        <w:rPr>
          <w:rFonts w:ascii="Verdana" w:hAnsi="Verdana"/>
          <w:bCs/>
          <w:sz w:val="20"/>
          <w:szCs w:val="20"/>
        </w:rPr>
        <w:t>n</w:t>
      </w:r>
      <w:r w:rsidR="00940E95" w:rsidRPr="005F1851">
        <w:rPr>
          <w:rFonts w:ascii="Verdana" w:hAnsi="Verdana"/>
          <w:bCs/>
          <w:sz w:val="20"/>
          <w:szCs w:val="20"/>
        </w:rPr>
        <w:t xml:space="preserve"> </w:t>
      </w:r>
      <w:r w:rsidR="002250D9">
        <w:rPr>
          <w:rFonts w:ascii="Verdana" w:hAnsi="Verdana"/>
          <w:bCs/>
          <w:sz w:val="20"/>
          <w:szCs w:val="20"/>
        </w:rPr>
        <w:t xml:space="preserve">informal </w:t>
      </w:r>
      <w:r w:rsidR="00940E95" w:rsidRPr="005F1851">
        <w:rPr>
          <w:rFonts w:ascii="Verdana" w:hAnsi="Verdana"/>
          <w:bCs/>
          <w:sz w:val="20"/>
          <w:szCs w:val="20"/>
        </w:rPr>
        <w:t>organizing committee</w:t>
      </w:r>
      <w:r w:rsidR="005F1851" w:rsidRPr="005F1851">
        <w:rPr>
          <w:rFonts w:ascii="Verdana" w:hAnsi="Verdana"/>
          <w:bCs/>
          <w:sz w:val="20"/>
          <w:szCs w:val="20"/>
        </w:rPr>
        <w:t xml:space="preserve"> (OC)</w:t>
      </w:r>
      <w:r w:rsidR="00EA56F1">
        <w:rPr>
          <w:rFonts w:ascii="Verdana" w:hAnsi="Verdana"/>
          <w:bCs/>
          <w:sz w:val="20"/>
          <w:szCs w:val="20"/>
        </w:rPr>
        <w:t xml:space="preserve"> – comprising members of the MG and WMO Secretariat, plus others as necessary (e.g. ICAO</w:t>
      </w:r>
      <w:r w:rsidR="00940E95" w:rsidRPr="005F1851">
        <w:rPr>
          <w:rFonts w:ascii="Verdana" w:hAnsi="Verdana"/>
          <w:bCs/>
          <w:sz w:val="20"/>
          <w:szCs w:val="20"/>
        </w:rPr>
        <w:t xml:space="preserve"> Secretariat</w:t>
      </w:r>
      <w:r w:rsidR="00EA56F1">
        <w:rPr>
          <w:rFonts w:ascii="Verdana" w:hAnsi="Verdana"/>
          <w:bCs/>
          <w:sz w:val="20"/>
          <w:szCs w:val="20"/>
        </w:rPr>
        <w:t xml:space="preserve">) – to </w:t>
      </w:r>
      <w:r w:rsidR="00940E95" w:rsidRPr="005F1851">
        <w:rPr>
          <w:rFonts w:ascii="Verdana" w:hAnsi="Verdana"/>
          <w:bCs/>
          <w:sz w:val="20"/>
          <w:szCs w:val="20"/>
        </w:rPr>
        <w:t>oversee and assist with all of the necessary arrangements</w:t>
      </w:r>
      <w:r>
        <w:rPr>
          <w:rFonts w:ascii="Verdana" w:hAnsi="Verdana"/>
          <w:bCs/>
          <w:sz w:val="20"/>
          <w:szCs w:val="20"/>
        </w:rPr>
        <w:t>, including</w:t>
      </w:r>
      <w:bookmarkStart w:id="0" w:name="_GoBack"/>
      <w:bookmarkEnd w:id="0"/>
      <w:r>
        <w:rPr>
          <w:rFonts w:ascii="Verdana" w:hAnsi="Verdana"/>
          <w:bCs/>
          <w:sz w:val="20"/>
          <w:szCs w:val="20"/>
        </w:rPr>
        <w:t xml:space="preserve"> logistics and outreach</w:t>
      </w:r>
      <w:r w:rsidR="002250D9">
        <w:rPr>
          <w:rFonts w:ascii="Verdana" w:hAnsi="Verdana"/>
          <w:bCs/>
          <w:sz w:val="20"/>
          <w:szCs w:val="20"/>
        </w:rPr>
        <w:t>, up to and including the conducting of the events</w:t>
      </w:r>
      <w:r w:rsidR="00940E95" w:rsidRPr="005F1851">
        <w:rPr>
          <w:rFonts w:ascii="Verdana" w:hAnsi="Verdana"/>
          <w:bCs/>
          <w:sz w:val="20"/>
          <w:szCs w:val="20"/>
        </w:rPr>
        <w:t xml:space="preserve">. </w:t>
      </w:r>
      <w:r w:rsidR="005F1851" w:rsidRPr="005F1851">
        <w:rPr>
          <w:rFonts w:ascii="Verdana" w:hAnsi="Verdana"/>
          <w:bCs/>
          <w:sz w:val="20"/>
          <w:szCs w:val="20"/>
        </w:rPr>
        <w:t>The MG requested that the OC should conduct the bulk of its coordination through correspondence and</w:t>
      </w:r>
      <w:r>
        <w:rPr>
          <w:rFonts w:ascii="Verdana" w:hAnsi="Verdana"/>
          <w:bCs/>
          <w:sz w:val="20"/>
          <w:szCs w:val="20"/>
        </w:rPr>
        <w:t xml:space="preserve"> </w:t>
      </w:r>
      <w:r w:rsidR="005F1851" w:rsidRPr="005F1851">
        <w:rPr>
          <w:rFonts w:ascii="Verdana" w:hAnsi="Verdana"/>
          <w:bCs/>
          <w:sz w:val="20"/>
          <w:szCs w:val="20"/>
        </w:rPr>
        <w:t xml:space="preserve">tele-/video-conference, and that the OC should initiate its coordination not later than </w:t>
      </w:r>
      <w:r>
        <w:rPr>
          <w:rFonts w:ascii="Verdana" w:hAnsi="Verdana"/>
          <w:bCs/>
          <w:sz w:val="20"/>
          <w:szCs w:val="20"/>
        </w:rPr>
        <w:t xml:space="preserve">31 </w:t>
      </w:r>
      <w:r w:rsidR="002E2AFA">
        <w:rPr>
          <w:rFonts w:ascii="Verdana" w:hAnsi="Verdana"/>
          <w:bCs/>
          <w:sz w:val="20"/>
          <w:szCs w:val="20"/>
        </w:rPr>
        <w:t>March</w:t>
      </w:r>
      <w:r w:rsidR="002E2AFA" w:rsidRPr="005F1851">
        <w:rPr>
          <w:rFonts w:ascii="Verdana" w:hAnsi="Verdana"/>
          <w:bCs/>
          <w:sz w:val="20"/>
          <w:szCs w:val="20"/>
        </w:rPr>
        <w:t xml:space="preserve"> </w:t>
      </w:r>
      <w:r w:rsidR="005F1851" w:rsidRPr="005F1851">
        <w:rPr>
          <w:rFonts w:ascii="Verdana" w:hAnsi="Verdana"/>
          <w:bCs/>
          <w:sz w:val="20"/>
          <w:szCs w:val="20"/>
        </w:rPr>
        <w:t xml:space="preserve">2017. </w:t>
      </w:r>
      <w:r w:rsidR="005F1851" w:rsidRPr="005F1851">
        <w:rPr>
          <w:rFonts w:ascii="Verdana" w:hAnsi="Verdana"/>
          <w:b/>
          <w:sz w:val="20"/>
          <w:szCs w:val="20"/>
          <w:bdr w:val="single" w:sz="4" w:space="0" w:color="auto"/>
        </w:rPr>
        <w:t>Actio</w:t>
      </w:r>
      <w:r w:rsidR="00EA56F1">
        <w:rPr>
          <w:rFonts w:ascii="Verdana" w:hAnsi="Verdana"/>
          <w:b/>
          <w:sz w:val="20"/>
          <w:szCs w:val="20"/>
          <w:bdr w:val="single" w:sz="4" w:space="0" w:color="auto"/>
        </w:rPr>
        <w:t>n xx</w:t>
      </w:r>
    </w:p>
    <w:p w:rsidR="006764E2" w:rsidRPr="002169EF" w:rsidRDefault="006764E2" w:rsidP="006764E2">
      <w:pPr>
        <w:jc w:val="both"/>
        <w:rPr>
          <w:rFonts w:ascii="Verdana" w:hAnsi="Verdana"/>
          <w:b/>
          <w:sz w:val="20"/>
          <w:szCs w:val="20"/>
        </w:rPr>
      </w:pPr>
    </w:p>
    <w:p w:rsidR="00613C50" w:rsidRPr="002169EF" w:rsidRDefault="002169EF">
      <w:pPr>
        <w:jc w:val="center"/>
        <w:rPr>
          <w:rFonts w:ascii="Verdana" w:hAnsi="Verdana"/>
          <w:sz w:val="20"/>
          <w:szCs w:val="20"/>
        </w:rPr>
      </w:pPr>
      <w:r w:rsidRPr="002169EF">
        <w:rPr>
          <w:rFonts w:ascii="Verdana" w:hAnsi="Verdana"/>
          <w:sz w:val="20"/>
          <w:szCs w:val="20"/>
        </w:rPr>
        <w:t>______</w:t>
      </w:r>
    </w:p>
    <w:p w:rsidR="00003FCA" w:rsidRDefault="00003FCA">
      <w:pPr>
        <w:rPr>
          <w:rFonts w:ascii="Verdana" w:hAnsi="Verdana"/>
          <w:sz w:val="20"/>
          <w:szCs w:val="20"/>
        </w:rPr>
      </w:pPr>
    </w:p>
    <w:p w:rsidR="00D41D53" w:rsidRPr="002169EF" w:rsidRDefault="00D41D53">
      <w:pPr>
        <w:jc w:val="center"/>
        <w:rPr>
          <w:rFonts w:ascii="Verdana" w:hAnsi="Verdana"/>
          <w:sz w:val="20"/>
          <w:szCs w:val="20"/>
        </w:rPr>
      </w:pPr>
    </w:p>
    <w:sectPr w:rsidR="00D41D53" w:rsidRPr="002169EF" w:rsidSect="00E811C6">
      <w:headerReference w:type="first" r:id="rId14"/>
      <w:pgSz w:w="11907" w:h="16840" w:code="9"/>
      <w:pgMar w:top="1418" w:right="1418" w:bottom="1418" w:left="1418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5A" w:rsidRDefault="0006335A">
      <w:r>
        <w:separator/>
      </w:r>
    </w:p>
  </w:endnote>
  <w:endnote w:type="continuationSeparator" w:id="0">
    <w:p w:rsidR="0006335A" w:rsidRDefault="0006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CD" w:rsidRDefault="00FF7D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CD" w:rsidRDefault="00FF7D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CD" w:rsidRDefault="00FF7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5A" w:rsidRDefault="0006335A">
      <w:r>
        <w:separator/>
      </w:r>
    </w:p>
  </w:footnote>
  <w:footnote w:type="continuationSeparator" w:id="0">
    <w:p w:rsidR="0006335A" w:rsidRDefault="0006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CD" w:rsidRDefault="00FF7D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C6" w:rsidRPr="00B92C71" w:rsidRDefault="00003FCA" w:rsidP="00421F06">
    <w:pPr>
      <w:pStyle w:val="Header"/>
      <w:jc w:val="center"/>
      <w:rPr>
        <w:sz w:val="20"/>
        <w:szCs w:val="20"/>
        <w:lang w:val="en-US"/>
      </w:rPr>
    </w:pPr>
    <w:r w:rsidRPr="00BF6F78">
      <w:rPr>
        <w:sz w:val="20"/>
        <w:szCs w:val="20"/>
        <w:lang w:val="de-DE"/>
      </w:rPr>
      <w:t>C</w:t>
    </w:r>
    <w:r>
      <w:rPr>
        <w:sz w:val="20"/>
        <w:szCs w:val="20"/>
        <w:lang w:val="de-DE"/>
      </w:rPr>
      <w:t>AeM-</w:t>
    </w:r>
    <w:r w:rsidRPr="00BF6F78">
      <w:rPr>
        <w:sz w:val="20"/>
        <w:szCs w:val="20"/>
        <w:lang w:val="de-DE"/>
      </w:rPr>
      <w:t>MG</w:t>
    </w:r>
    <w:r>
      <w:rPr>
        <w:sz w:val="20"/>
        <w:szCs w:val="20"/>
        <w:lang w:val="de-DE"/>
      </w:rPr>
      <w:t>/</w:t>
    </w:r>
    <w:r w:rsidRPr="00BF6F78">
      <w:rPr>
        <w:sz w:val="20"/>
        <w:szCs w:val="20"/>
        <w:lang w:val="de-DE"/>
      </w:rPr>
      <w:t>20</w:t>
    </w:r>
    <w:r>
      <w:rPr>
        <w:sz w:val="20"/>
        <w:szCs w:val="20"/>
        <w:lang w:val="de-DE"/>
      </w:rPr>
      <w:t>16</w:t>
    </w:r>
    <w:r w:rsidRPr="00BF6F78">
      <w:rPr>
        <w:sz w:val="20"/>
        <w:szCs w:val="20"/>
        <w:lang w:val="de-DE"/>
      </w:rPr>
      <w:t xml:space="preserve">/Doc. </w:t>
    </w:r>
    <w:r>
      <w:rPr>
        <w:sz w:val="20"/>
        <w:szCs w:val="20"/>
        <w:lang w:val="de-DE"/>
      </w:rPr>
      <w:t>6.</w:t>
    </w:r>
    <w:r w:rsidR="00421F06">
      <w:rPr>
        <w:sz w:val="20"/>
        <w:szCs w:val="20"/>
        <w:lang w:val="de-DE"/>
      </w:rPr>
      <w:t>3</w:t>
    </w:r>
    <w:r w:rsidR="00E811C6">
      <w:rPr>
        <w:sz w:val="20"/>
        <w:szCs w:val="20"/>
        <w:lang w:val="en-US"/>
      </w:rPr>
      <w:t>, p</w:t>
    </w:r>
    <w:r w:rsidR="00E811C6" w:rsidRPr="00B92C71">
      <w:rPr>
        <w:sz w:val="20"/>
        <w:szCs w:val="20"/>
        <w:lang w:val="en-US"/>
      </w:rPr>
      <w:t xml:space="preserve">. </w:t>
    </w:r>
    <w:r w:rsidR="00E811C6" w:rsidRPr="00B92C71">
      <w:rPr>
        <w:rStyle w:val="PageNumber"/>
        <w:sz w:val="20"/>
        <w:szCs w:val="20"/>
      </w:rPr>
      <w:fldChar w:fldCharType="begin"/>
    </w:r>
    <w:r w:rsidR="00E811C6" w:rsidRPr="00B92C71">
      <w:rPr>
        <w:rStyle w:val="PageNumber"/>
        <w:sz w:val="20"/>
        <w:szCs w:val="20"/>
      </w:rPr>
      <w:instrText xml:space="preserve"> PAGE </w:instrText>
    </w:r>
    <w:r w:rsidR="00E811C6" w:rsidRPr="00B92C71">
      <w:rPr>
        <w:rStyle w:val="PageNumber"/>
        <w:sz w:val="20"/>
        <w:szCs w:val="20"/>
      </w:rPr>
      <w:fldChar w:fldCharType="separate"/>
    </w:r>
    <w:r w:rsidR="00382765">
      <w:rPr>
        <w:rStyle w:val="PageNumber"/>
        <w:noProof/>
        <w:sz w:val="20"/>
        <w:szCs w:val="20"/>
      </w:rPr>
      <w:t>3</w:t>
    </w:r>
    <w:r w:rsidR="00E811C6" w:rsidRPr="00B92C71">
      <w:rPr>
        <w:rStyle w:val="PageNumber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CD" w:rsidRDefault="00FF7DC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20" w:rsidRPr="00E70820" w:rsidRDefault="00E70820" w:rsidP="00421F06">
    <w:pPr>
      <w:pStyle w:val="Header"/>
      <w:jc w:val="center"/>
      <w:rPr>
        <w:sz w:val="20"/>
        <w:szCs w:val="20"/>
      </w:rPr>
    </w:pPr>
    <w:r w:rsidRPr="00BF6F78">
      <w:rPr>
        <w:sz w:val="20"/>
        <w:szCs w:val="20"/>
        <w:lang w:val="de-DE"/>
      </w:rPr>
      <w:t>C</w:t>
    </w:r>
    <w:r w:rsidR="00AD5EA7">
      <w:rPr>
        <w:sz w:val="20"/>
        <w:szCs w:val="20"/>
        <w:lang w:val="de-DE"/>
      </w:rPr>
      <w:t>A</w:t>
    </w:r>
    <w:r w:rsidR="004B4533">
      <w:rPr>
        <w:sz w:val="20"/>
        <w:szCs w:val="20"/>
        <w:lang w:val="de-DE"/>
      </w:rPr>
      <w:t>eM-</w:t>
    </w:r>
    <w:r w:rsidRPr="00BF6F78">
      <w:rPr>
        <w:sz w:val="20"/>
        <w:szCs w:val="20"/>
        <w:lang w:val="de-DE"/>
      </w:rPr>
      <w:t>MG</w:t>
    </w:r>
    <w:r w:rsidR="004B4533">
      <w:rPr>
        <w:sz w:val="20"/>
        <w:szCs w:val="20"/>
        <w:lang w:val="de-DE"/>
      </w:rPr>
      <w:t>/</w:t>
    </w:r>
    <w:r w:rsidRPr="00BF6F78">
      <w:rPr>
        <w:sz w:val="20"/>
        <w:szCs w:val="20"/>
        <w:lang w:val="de-DE"/>
      </w:rPr>
      <w:t>20</w:t>
    </w:r>
    <w:r w:rsidR="00AF62C8">
      <w:rPr>
        <w:sz w:val="20"/>
        <w:szCs w:val="20"/>
        <w:lang w:val="de-DE"/>
      </w:rPr>
      <w:t>1</w:t>
    </w:r>
    <w:r w:rsidR="002169EF">
      <w:rPr>
        <w:sz w:val="20"/>
        <w:szCs w:val="20"/>
        <w:lang w:val="de-DE"/>
      </w:rPr>
      <w:t>6</w:t>
    </w:r>
    <w:r w:rsidRPr="00BF6F78">
      <w:rPr>
        <w:sz w:val="20"/>
        <w:szCs w:val="20"/>
        <w:lang w:val="de-DE"/>
      </w:rPr>
      <w:t xml:space="preserve">/Doc. </w:t>
    </w:r>
    <w:r w:rsidR="00003FCA">
      <w:rPr>
        <w:sz w:val="20"/>
        <w:szCs w:val="20"/>
        <w:lang w:val="de-DE"/>
      </w:rPr>
      <w:t>6</w:t>
    </w:r>
    <w:r w:rsidR="00333C88">
      <w:rPr>
        <w:sz w:val="20"/>
        <w:szCs w:val="20"/>
        <w:lang w:val="de-DE"/>
      </w:rPr>
      <w:t>.</w:t>
    </w:r>
    <w:r w:rsidR="00421F06">
      <w:rPr>
        <w:sz w:val="20"/>
        <w:szCs w:val="20"/>
        <w:lang w:val="de-DE"/>
      </w:rPr>
      <w:t>3</w:t>
    </w:r>
    <w:r w:rsidRPr="00BF6F78">
      <w:rPr>
        <w:sz w:val="20"/>
        <w:szCs w:val="20"/>
        <w:lang w:val="de-DE"/>
      </w:rPr>
      <w:t xml:space="preserve">, p. </w:t>
    </w:r>
    <w:r w:rsidRPr="00E70820">
      <w:rPr>
        <w:rStyle w:val="PageNumber"/>
        <w:sz w:val="20"/>
        <w:szCs w:val="20"/>
      </w:rPr>
      <w:fldChar w:fldCharType="begin"/>
    </w:r>
    <w:r w:rsidRPr="00BF6F78">
      <w:rPr>
        <w:rStyle w:val="PageNumber"/>
        <w:sz w:val="20"/>
        <w:szCs w:val="20"/>
        <w:lang w:val="de-DE"/>
      </w:rPr>
      <w:instrText xml:space="preserve"> PAGE </w:instrText>
    </w:r>
    <w:r w:rsidRPr="00E70820">
      <w:rPr>
        <w:rStyle w:val="PageNumber"/>
        <w:sz w:val="20"/>
        <w:szCs w:val="20"/>
      </w:rPr>
      <w:fldChar w:fldCharType="separate"/>
    </w:r>
    <w:r w:rsidR="00AF4CA4">
      <w:rPr>
        <w:rStyle w:val="PageNumber"/>
        <w:noProof/>
        <w:sz w:val="20"/>
        <w:szCs w:val="20"/>
        <w:lang w:val="de-DE"/>
      </w:rPr>
      <w:t>2</w:t>
    </w:r>
    <w:r w:rsidRPr="00E70820">
      <w:rPr>
        <w:rStyle w:val="PageNumber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A3A"/>
    <w:multiLevelType w:val="multilevel"/>
    <w:tmpl w:val="2EDAB6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75"/>
        </w:tabs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20"/>
        </w:tabs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5"/>
        </w:tabs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50"/>
        </w:tabs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35"/>
        </w:tabs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80"/>
        </w:tabs>
        <w:ind w:left="17680" w:hanging="1800"/>
      </w:pPr>
      <w:rPr>
        <w:rFonts w:hint="default"/>
      </w:rPr>
    </w:lvl>
  </w:abstractNum>
  <w:abstractNum w:abstractNumId="1">
    <w:nsid w:val="307D78E4"/>
    <w:multiLevelType w:val="multilevel"/>
    <w:tmpl w:val="2F28588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4B3665"/>
    <w:multiLevelType w:val="multilevel"/>
    <w:tmpl w:val="589A74C2"/>
    <w:lvl w:ilvl="0">
      <w:start w:val="5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495"/>
        </w:tabs>
        <w:ind w:left="249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973"/>
        </w:tabs>
        <w:ind w:left="49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467"/>
        </w:tabs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601"/>
        </w:tabs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095"/>
        </w:tabs>
        <w:ind w:left="9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229"/>
        </w:tabs>
        <w:ind w:left="102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723"/>
        </w:tabs>
        <w:ind w:left="11723" w:hanging="1800"/>
      </w:pPr>
      <w:rPr>
        <w:rFonts w:hint="default"/>
      </w:rPr>
    </w:lvl>
  </w:abstractNum>
  <w:abstractNum w:abstractNumId="3">
    <w:nsid w:val="4CDA13B7"/>
    <w:multiLevelType w:val="multilevel"/>
    <w:tmpl w:val="FD8C66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690"/>
        </w:tabs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6675"/>
        </w:tabs>
        <w:ind w:left="6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020"/>
        </w:tabs>
        <w:ind w:left="9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005"/>
        </w:tabs>
        <w:ind w:left="1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350"/>
        </w:tabs>
        <w:ind w:left="133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335"/>
        </w:tabs>
        <w:ind w:left="153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7680"/>
        </w:tabs>
        <w:ind w:left="17680" w:hanging="1800"/>
      </w:pPr>
      <w:rPr>
        <w:rFonts w:hint="default"/>
        <w:b/>
      </w:rPr>
    </w:lvl>
  </w:abstractNum>
  <w:abstractNum w:abstractNumId="4">
    <w:nsid w:val="56665EE6"/>
    <w:multiLevelType w:val="hybridMultilevel"/>
    <w:tmpl w:val="4810FE2E"/>
    <w:lvl w:ilvl="0" w:tplc="5784D58E">
      <w:start w:val="4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86"/>
    <w:rsid w:val="00003FCA"/>
    <w:rsid w:val="00020BB2"/>
    <w:rsid w:val="00043A2D"/>
    <w:rsid w:val="0006335A"/>
    <w:rsid w:val="00070D6B"/>
    <w:rsid w:val="00071F24"/>
    <w:rsid w:val="00080926"/>
    <w:rsid w:val="001406D3"/>
    <w:rsid w:val="00214256"/>
    <w:rsid w:val="002169EF"/>
    <w:rsid w:val="002172F1"/>
    <w:rsid w:val="00217C3B"/>
    <w:rsid w:val="002250D9"/>
    <w:rsid w:val="002334F9"/>
    <w:rsid w:val="00234E41"/>
    <w:rsid w:val="0026185A"/>
    <w:rsid w:val="002C33B7"/>
    <w:rsid w:val="002E2AFA"/>
    <w:rsid w:val="00306317"/>
    <w:rsid w:val="0031041F"/>
    <w:rsid w:val="00333C88"/>
    <w:rsid w:val="00382765"/>
    <w:rsid w:val="003B1630"/>
    <w:rsid w:val="003B2A23"/>
    <w:rsid w:val="00405D97"/>
    <w:rsid w:val="00421F06"/>
    <w:rsid w:val="004B4533"/>
    <w:rsid w:val="004B578E"/>
    <w:rsid w:val="004D7EB0"/>
    <w:rsid w:val="004F442D"/>
    <w:rsid w:val="004F5414"/>
    <w:rsid w:val="0056532F"/>
    <w:rsid w:val="005737A9"/>
    <w:rsid w:val="00581E2E"/>
    <w:rsid w:val="0058530F"/>
    <w:rsid w:val="005A67A9"/>
    <w:rsid w:val="005C1CD0"/>
    <w:rsid w:val="005D4D48"/>
    <w:rsid w:val="005E62E9"/>
    <w:rsid w:val="005F1851"/>
    <w:rsid w:val="006120E2"/>
    <w:rsid w:val="00613C50"/>
    <w:rsid w:val="00650D4C"/>
    <w:rsid w:val="006764E2"/>
    <w:rsid w:val="006971B7"/>
    <w:rsid w:val="00712B98"/>
    <w:rsid w:val="007300B1"/>
    <w:rsid w:val="00757681"/>
    <w:rsid w:val="007733F7"/>
    <w:rsid w:val="007762B9"/>
    <w:rsid w:val="00785281"/>
    <w:rsid w:val="007A0B86"/>
    <w:rsid w:val="007F1878"/>
    <w:rsid w:val="00826DAF"/>
    <w:rsid w:val="00850FFA"/>
    <w:rsid w:val="008516A1"/>
    <w:rsid w:val="00891728"/>
    <w:rsid w:val="008D1AC2"/>
    <w:rsid w:val="008D45ED"/>
    <w:rsid w:val="008D6DEF"/>
    <w:rsid w:val="009060EC"/>
    <w:rsid w:val="0092483E"/>
    <w:rsid w:val="00940E95"/>
    <w:rsid w:val="0094378B"/>
    <w:rsid w:val="00A03A9D"/>
    <w:rsid w:val="00AD5EA7"/>
    <w:rsid w:val="00AE5EE7"/>
    <w:rsid w:val="00AF4CA4"/>
    <w:rsid w:val="00AF62C8"/>
    <w:rsid w:val="00B02E5F"/>
    <w:rsid w:val="00B33A3C"/>
    <w:rsid w:val="00B51572"/>
    <w:rsid w:val="00B92C71"/>
    <w:rsid w:val="00BA0751"/>
    <w:rsid w:val="00BF6F78"/>
    <w:rsid w:val="00C1531A"/>
    <w:rsid w:val="00CC0F5E"/>
    <w:rsid w:val="00CF01A8"/>
    <w:rsid w:val="00CF5ACC"/>
    <w:rsid w:val="00D41D53"/>
    <w:rsid w:val="00DD5B51"/>
    <w:rsid w:val="00E21EF0"/>
    <w:rsid w:val="00E315DB"/>
    <w:rsid w:val="00E70820"/>
    <w:rsid w:val="00E72C91"/>
    <w:rsid w:val="00E811C6"/>
    <w:rsid w:val="00EA56F1"/>
    <w:rsid w:val="00EF4F8A"/>
    <w:rsid w:val="00F84610"/>
    <w:rsid w:val="00FB2328"/>
    <w:rsid w:val="00FE3D78"/>
    <w:rsid w:val="00FF5BC6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tabs>
        <w:tab w:val="center" w:pos="5387"/>
      </w:tabs>
      <w:spacing w:line="286" w:lineRule="auto"/>
      <w:ind w:left="851" w:right="851"/>
      <w:jc w:val="center"/>
      <w:outlineLvl w:val="0"/>
    </w:pPr>
    <w:rPr>
      <w:rFonts w:eastAsia="Times New Roman"/>
      <w:b/>
      <w:bCs/>
      <w:snapToGrid w:val="0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b/>
      <w:bCs/>
      <w:snapToGrid w:val="0"/>
      <w:szCs w:val="22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</w:tabs>
      <w:spacing w:line="286" w:lineRule="auto"/>
      <w:jc w:val="center"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Cs w:val="2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1701"/>
        <w:tab w:val="left" w:pos="3119"/>
      </w:tabs>
      <w:ind w:left="1985" w:right="851" w:hanging="284"/>
      <w:jc w:val="both"/>
    </w:pPr>
    <w:rPr>
      <w:rFonts w:eastAsia="Times New Roman"/>
      <w:sz w:val="21"/>
      <w:szCs w:val="21"/>
      <w:lang w:eastAsia="en-US"/>
    </w:rPr>
  </w:style>
  <w:style w:type="paragraph" w:styleId="BodyText2">
    <w:name w:val="Body Text 2"/>
    <w:basedOn w:val="Normal"/>
    <w:pPr>
      <w:tabs>
        <w:tab w:val="left" w:pos="1985"/>
        <w:tab w:val="left" w:pos="2489"/>
        <w:tab w:val="left" w:pos="3119"/>
      </w:tabs>
      <w:spacing w:line="286" w:lineRule="auto"/>
      <w:jc w:val="both"/>
    </w:pPr>
    <w:rPr>
      <w:color w:val="000000"/>
    </w:rPr>
  </w:style>
  <w:style w:type="paragraph" w:styleId="BodyTextIndent">
    <w:name w:val="Body Text Indent"/>
    <w:basedOn w:val="Normal"/>
    <w:pPr>
      <w:tabs>
        <w:tab w:val="left" w:pos="1100"/>
        <w:tab w:val="left" w:pos="2489"/>
        <w:tab w:val="left" w:pos="3119"/>
      </w:tabs>
      <w:ind w:left="1100" w:hanging="1100"/>
      <w:jc w:val="both"/>
    </w:pPr>
    <w:rPr>
      <w:b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color w:val="000000"/>
    </w:rPr>
  </w:style>
  <w:style w:type="paragraph" w:styleId="BodyTextIndent3">
    <w:name w:val="Body Text Indent 3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bCs/>
      <w:color w:val="000000"/>
    </w:rPr>
  </w:style>
  <w:style w:type="character" w:styleId="PageNumber">
    <w:name w:val="page number"/>
    <w:basedOn w:val="DefaultParagraphFont"/>
    <w:rsid w:val="00B92C71"/>
  </w:style>
  <w:style w:type="table" w:styleId="TableGrid">
    <w:name w:val="Table Grid"/>
    <w:basedOn w:val="TableNormal"/>
    <w:rsid w:val="0058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MOBodyText">
    <w:name w:val="WMO_BodyText"/>
    <w:basedOn w:val="Normal"/>
    <w:link w:val="WMOBodyTextCharChar"/>
    <w:rsid w:val="005E62E9"/>
    <w:pPr>
      <w:tabs>
        <w:tab w:val="left" w:pos="1134"/>
      </w:tabs>
      <w:spacing w:before="240"/>
    </w:pPr>
    <w:rPr>
      <w:rFonts w:eastAsia="Arial" w:cs="Arial"/>
      <w:szCs w:val="22"/>
      <w:lang w:eastAsia="zh-TW"/>
    </w:rPr>
  </w:style>
  <w:style w:type="character" w:customStyle="1" w:styleId="WMOBodyTextCharChar">
    <w:name w:val="WMO_BodyText Char Char"/>
    <w:link w:val="WMOBodyText"/>
    <w:rsid w:val="005E62E9"/>
    <w:rPr>
      <w:rFonts w:ascii="Arial" w:eastAsia="Arial" w:hAnsi="Arial"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30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B1"/>
    <w:rPr>
      <w:rFonts w:ascii="Tahoma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676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tabs>
        <w:tab w:val="center" w:pos="5387"/>
      </w:tabs>
      <w:spacing w:line="286" w:lineRule="auto"/>
      <w:ind w:left="851" w:right="851"/>
      <w:jc w:val="center"/>
      <w:outlineLvl w:val="0"/>
    </w:pPr>
    <w:rPr>
      <w:rFonts w:eastAsia="Times New Roman"/>
      <w:b/>
      <w:bCs/>
      <w:snapToGrid w:val="0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b/>
      <w:bCs/>
      <w:snapToGrid w:val="0"/>
      <w:szCs w:val="22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</w:tabs>
      <w:spacing w:line="286" w:lineRule="auto"/>
      <w:jc w:val="center"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Cs w:val="2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1701"/>
        <w:tab w:val="left" w:pos="3119"/>
      </w:tabs>
      <w:ind w:left="1985" w:right="851" w:hanging="284"/>
      <w:jc w:val="both"/>
    </w:pPr>
    <w:rPr>
      <w:rFonts w:eastAsia="Times New Roman"/>
      <w:sz w:val="21"/>
      <w:szCs w:val="21"/>
      <w:lang w:eastAsia="en-US"/>
    </w:rPr>
  </w:style>
  <w:style w:type="paragraph" w:styleId="BodyText2">
    <w:name w:val="Body Text 2"/>
    <w:basedOn w:val="Normal"/>
    <w:pPr>
      <w:tabs>
        <w:tab w:val="left" w:pos="1985"/>
        <w:tab w:val="left" w:pos="2489"/>
        <w:tab w:val="left" w:pos="3119"/>
      </w:tabs>
      <w:spacing w:line="286" w:lineRule="auto"/>
      <w:jc w:val="both"/>
    </w:pPr>
    <w:rPr>
      <w:color w:val="000000"/>
    </w:rPr>
  </w:style>
  <w:style w:type="paragraph" w:styleId="BodyTextIndent">
    <w:name w:val="Body Text Indent"/>
    <w:basedOn w:val="Normal"/>
    <w:pPr>
      <w:tabs>
        <w:tab w:val="left" w:pos="1100"/>
        <w:tab w:val="left" w:pos="2489"/>
        <w:tab w:val="left" w:pos="3119"/>
      </w:tabs>
      <w:ind w:left="1100" w:hanging="1100"/>
      <w:jc w:val="both"/>
    </w:pPr>
    <w:rPr>
      <w:b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color w:val="000000"/>
    </w:rPr>
  </w:style>
  <w:style w:type="paragraph" w:styleId="BodyTextIndent3">
    <w:name w:val="Body Text Indent 3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bCs/>
      <w:color w:val="000000"/>
    </w:rPr>
  </w:style>
  <w:style w:type="character" w:styleId="PageNumber">
    <w:name w:val="page number"/>
    <w:basedOn w:val="DefaultParagraphFont"/>
    <w:rsid w:val="00B92C71"/>
  </w:style>
  <w:style w:type="table" w:styleId="TableGrid">
    <w:name w:val="Table Grid"/>
    <w:basedOn w:val="TableNormal"/>
    <w:rsid w:val="0058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MOBodyText">
    <w:name w:val="WMO_BodyText"/>
    <w:basedOn w:val="Normal"/>
    <w:link w:val="WMOBodyTextCharChar"/>
    <w:rsid w:val="005E62E9"/>
    <w:pPr>
      <w:tabs>
        <w:tab w:val="left" w:pos="1134"/>
      </w:tabs>
      <w:spacing w:before="240"/>
    </w:pPr>
    <w:rPr>
      <w:rFonts w:eastAsia="Arial" w:cs="Arial"/>
      <w:szCs w:val="22"/>
      <w:lang w:eastAsia="zh-TW"/>
    </w:rPr>
  </w:style>
  <w:style w:type="character" w:customStyle="1" w:styleId="WMOBodyTextCharChar">
    <w:name w:val="WMO_BodyText Char Char"/>
    <w:link w:val="WMOBodyText"/>
    <w:rsid w:val="005E62E9"/>
    <w:rPr>
      <w:rFonts w:ascii="Arial" w:eastAsia="Arial" w:hAnsi="Arial"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30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B1"/>
    <w:rPr>
      <w:rFonts w:ascii="Tahoma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67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2016-10-26T11:03:00Z</dcterms:created>
  <dcterms:modified xsi:type="dcterms:W3CDTF">2016-10-26T11:04:00Z</dcterms:modified>
</cp:coreProperties>
</file>