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636B90" w:rsidTr="00F100CC">
        <w:trPr>
          <w:trHeight w:val="282"/>
        </w:trPr>
        <w:tc>
          <w:tcPr>
            <w:tcW w:w="6912" w:type="dxa"/>
            <w:vMerge w:val="restart"/>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14:anchorId="7CD8FFB7" wp14:editId="2BD6FF93">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706">
              <w:rPr>
                <w:rFonts w:cs="Tahoma"/>
                <w:b/>
                <w:bCs/>
                <w:color w:val="365F91" w:themeColor="accent1" w:themeShade="BF"/>
                <w:szCs w:val="22"/>
              </w:rPr>
              <w:t>World Meteorological Organization</w:t>
            </w:r>
          </w:p>
          <w:p w:rsidR="00993581" w:rsidRPr="005D666D" w:rsidRDefault="00535706"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COMMISSION FOR AERONAUTICAL METEOROLOGY</w:t>
            </w:r>
          </w:p>
          <w:p w:rsidR="00993581" w:rsidRPr="005D666D" w:rsidRDefault="00201B5F" w:rsidP="00201B5F">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1</w:t>
            </w:r>
            <w:r w:rsidRPr="00201B5F">
              <w:rPr>
                <w:rFonts w:cstheme="minorBidi"/>
                <w:b/>
                <w:snapToGrid w:val="0"/>
                <w:color w:val="365F91" w:themeColor="accent1" w:themeShade="BF"/>
                <w:szCs w:val="22"/>
                <w:vertAlign w:val="superscript"/>
              </w:rPr>
              <w:t>st</w:t>
            </w:r>
            <w:r>
              <w:rPr>
                <w:rFonts w:cstheme="minorBidi"/>
                <w:b/>
                <w:snapToGrid w:val="0"/>
                <w:color w:val="365F91" w:themeColor="accent1" w:themeShade="BF"/>
                <w:szCs w:val="22"/>
              </w:rPr>
              <w:t xml:space="preserve"> Meeting of ET-CCP </w:t>
            </w:r>
            <w:r w:rsidR="00993581" w:rsidRPr="005D666D">
              <w:rPr>
                <w:rFonts w:cstheme="minorBidi"/>
                <w:b/>
                <w:snapToGrid w:val="0"/>
                <w:color w:val="365F91" w:themeColor="accent1" w:themeShade="BF"/>
                <w:szCs w:val="22"/>
              </w:rPr>
              <w:br/>
            </w:r>
            <w:r w:rsidR="00535706">
              <w:rPr>
                <w:snapToGrid w:val="0"/>
                <w:color w:val="365F91" w:themeColor="accent1" w:themeShade="BF"/>
                <w:szCs w:val="22"/>
              </w:rPr>
              <w:t>St. Petersburg, Russian Federation</w:t>
            </w:r>
            <w:r w:rsidR="00535706">
              <w:rPr>
                <w:snapToGrid w:val="0"/>
                <w:color w:val="365F91" w:themeColor="accent1" w:themeShade="BF"/>
                <w:szCs w:val="22"/>
              </w:rPr>
              <w:br/>
              <w:t>16 to 18 May 2016</w:t>
            </w:r>
          </w:p>
        </w:tc>
        <w:tc>
          <w:tcPr>
            <w:tcW w:w="2977" w:type="dxa"/>
          </w:tcPr>
          <w:p w:rsidR="00993581" w:rsidRPr="00201B5F" w:rsidRDefault="00201B5F" w:rsidP="008C043E">
            <w:pPr>
              <w:tabs>
                <w:tab w:val="clear" w:pos="1134"/>
              </w:tabs>
              <w:spacing w:after="60"/>
              <w:ind w:right="-108"/>
              <w:jc w:val="right"/>
              <w:rPr>
                <w:rFonts w:cs="Tahoma"/>
                <w:b/>
                <w:bCs/>
                <w:color w:val="365F91" w:themeColor="accent1" w:themeShade="BF"/>
                <w:szCs w:val="22"/>
                <w:lang w:val="en-US"/>
              </w:rPr>
            </w:pPr>
            <w:r>
              <w:rPr>
                <w:rFonts w:cs="Tahoma"/>
                <w:b/>
                <w:bCs/>
                <w:color w:val="365F91" w:themeColor="accent1" w:themeShade="BF"/>
                <w:szCs w:val="22"/>
                <w:lang w:val="en-US"/>
              </w:rPr>
              <w:t>ET-CCP</w:t>
            </w:r>
            <w:r w:rsidR="00535706" w:rsidRPr="00201B5F">
              <w:rPr>
                <w:rFonts w:cs="Tahoma"/>
                <w:b/>
                <w:bCs/>
                <w:color w:val="365F91" w:themeColor="accent1" w:themeShade="BF"/>
                <w:szCs w:val="22"/>
                <w:lang w:val="en-US"/>
              </w:rPr>
              <w:t>-1/Doc. </w:t>
            </w:r>
            <w:r w:rsidR="008C043E">
              <w:rPr>
                <w:rFonts w:cs="Tahoma"/>
                <w:b/>
                <w:bCs/>
                <w:color w:val="365F91" w:themeColor="accent1" w:themeShade="BF"/>
                <w:szCs w:val="22"/>
                <w:lang w:val="en-US"/>
              </w:rPr>
              <w:t>4.1</w:t>
            </w:r>
          </w:p>
        </w:tc>
      </w:tr>
      <w:tr w:rsidR="00993581" w:rsidRPr="005D666D" w:rsidTr="00F100CC">
        <w:trPr>
          <w:trHeight w:val="730"/>
        </w:trPr>
        <w:tc>
          <w:tcPr>
            <w:tcW w:w="6912" w:type="dxa"/>
            <w:vMerge/>
          </w:tcPr>
          <w:p w:rsidR="00993581" w:rsidRPr="00201B5F" w:rsidRDefault="00993581" w:rsidP="00DE0041">
            <w:pPr>
              <w:tabs>
                <w:tab w:val="left" w:pos="6946"/>
              </w:tabs>
              <w:suppressAutoHyphens/>
              <w:spacing w:after="120" w:line="252" w:lineRule="auto"/>
              <w:ind w:left="1134"/>
              <w:jc w:val="left"/>
              <w:rPr>
                <w:noProof/>
                <w:color w:val="365F91" w:themeColor="accent1" w:themeShade="BF"/>
                <w:szCs w:val="22"/>
                <w:lang w:val="en-US" w:eastAsia="zh-CN"/>
              </w:rPr>
            </w:pPr>
          </w:p>
        </w:tc>
        <w:tc>
          <w:tcPr>
            <w:tcW w:w="2977" w:type="dxa"/>
          </w:tcPr>
          <w:p w:rsidR="007E18DF" w:rsidRDefault="007E18DF" w:rsidP="007E18DF">
            <w:pPr>
              <w:tabs>
                <w:tab w:val="clear" w:pos="1134"/>
              </w:tabs>
              <w:ind w:right="-108"/>
              <w:jc w:val="right"/>
              <w:rPr>
                <w:rFonts w:cs="Tahoma"/>
                <w:color w:val="365F91" w:themeColor="accent1" w:themeShade="BF"/>
              </w:rPr>
            </w:pPr>
          </w:p>
          <w:p w:rsidR="00DD7E63" w:rsidRPr="00DD7E63" w:rsidRDefault="007E18DF" w:rsidP="00F100CC">
            <w:pPr>
              <w:tabs>
                <w:tab w:val="clear" w:pos="1134"/>
              </w:tabs>
              <w:ind w:right="-108"/>
              <w:jc w:val="right"/>
            </w:pPr>
            <w:r>
              <w:rPr>
                <w:rFonts w:cs="Tahoma"/>
                <w:color w:val="365F91" w:themeColor="accent1" w:themeShade="BF"/>
              </w:rPr>
              <w:t>Submitted by:</w:t>
            </w:r>
            <w:r>
              <w:rPr>
                <w:rFonts w:cs="Tahoma"/>
                <w:color w:val="365F91" w:themeColor="accent1" w:themeShade="BF"/>
              </w:rPr>
              <w:br/>
            </w:r>
            <w:r w:rsidR="008C043E">
              <w:rPr>
                <w:rFonts w:cs="Tahoma"/>
                <w:color w:val="365F91" w:themeColor="accent1" w:themeShade="BF"/>
              </w:rPr>
              <w:t>Secretariat</w:t>
            </w:r>
            <w:r>
              <w:rPr>
                <w:rFonts w:cs="Tahoma"/>
                <w:color w:val="365F91" w:themeColor="accent1" w:themeShade="BF"/>
              </w:rPr>
              <w:t xml:space="preserve">  </w:t>
            </w:r>
            <w:r w:rsidR="00201B5F">
              <w:rPr>
                <w:rFonts w:cs="Tahoma"/>
                <w:color w:val="365F91" w:themeColor="accent1" w:themeShade="BF"/>
                <w:szCs w:val="22"/>
              </w:rPr>
              <w:br/>
            </w:r>
            <w:r>
              <w:rPr>
                <w:rFonts w:cs="Tahoma"/>
                <w:b/>
                <w:bCs/>
                <w:color w:val="365F91" w:themeColor="accent1" w:themeShade="BF"/>
                <w:szCs w:val="22"/>
              </w:rPr>
              <w:br/>
            </w:r>
            <w:r>
              <w:rPr>
                <w:rFonts w:cs="Tahoma"/>
                <w:b/>
                <w:bCs/>
                <w:color w:val="365F91" w:themeColor="accent1" w:themeShade="BF"/>
                <w:szCs w:val="22"/>
              </w:rPr>
              <w:br/>
            </w:r>
            <w:r w:rsidR="00F100CC">
              <w:rPr>
                <w:rFonts w:cs="Tahoma"/>
                <w:color w:val="365F91" w:themeColor="accent1" w:themeShade="BF"/>
                <w:szCs w:val="22"/>
              </w:rPr>
              <w:t>04</w:t>
            </w:r>
            <w:r w:rsidR="008C043E">
              <w:rPr>
                <w:rFonts w:cs="Tahoma"/>
                <w:color w:val="365F91" w:themeColor="accent1" w:themeShade="BF"/>
                <w:szCs w:val="22"/>
              </w:rPr>
              <w:t>.</w:t>
            </w:r>
            <w:r>
              <w:rPr>
                <w:rFonts w:cs="Tahoma"/>
                <w:color w:val="365F91" w:themeColor="accent1" w:themeShade="BF"/>
                <w:szCs w:val="22"/>
              </w:rPr>
              <w:t>V.2016</w:t>
            </w:r>
          </w:p>
        </w:tc>
      </w:tr>
    </w:tbl>
    <w:p w:rsidR="00082C80" w:rsidRPr="002A0BB4" w:rsidRDefault="006F1FCD" w:rsidP="00F100CC">
      <w:pPr>
        <w:pStyle w:val="WMOBodyText"/>
        <w:tabs>
          <w:tab w:val="clear" w:pos="1134"/>
          <w:tab w:val="left" w:pos="2835"/>
        </w:tabs>
        <w:spacing w:before="0"/>
        <w:rPr>
          <w:b/>
          <w:bCs/>
          <w:szCs w:val="20"/>
        </w:rPr>
      </w:pPr>
      <w:r>
        <w:rPr>
          <w:b/>
          <w:bCs/>
        </w:rPr>
        <w:br/>
      </w:r>
      <w:r>
        <w:rPr>
          <w:b/>
          <w:bCs/>
        </w:rPr>
        <w:br/>
      </w:r>
      <w:r w:rsidR="00535706" w:rsidRPr="002A0BB4">
        <w:rPr>
          <w:b/>
          <w:bCs/>
          <w:szCs w:val="20"/>
        </w:rPr>
        <w:t xml:space="preserve">AGENDA ITEM </w:t>
      </w:r>
      <w:r w:rsidR="008C043E">
        <w:rPr>
          <w:b/>
          <w:bCs/>
          <w:szCs w:val="20"/>
        </w:rPr>
        <w:t>4.1</w:t>
      </w:r>
      <w:r w:rsidR="00535706" w:rsidRPr="002A0BB4">
        <w:rPr>
          <w:b/>
          <w:bCs/>
          <w:szCs w:val="20"/>
        </w:rPr>
        <w:t>:</w:t>
      </w:r>
      <w:r w:rsidR="00535706" w:rsidRPr="002A0BB4">
        <w:rPr>
          <w:b/>
          <w:bCs/>
          <w:szCs w:val="20"/>
        </w:rPr>
        <w:tab/>
      </w:r>
      <w:r w:rsidR="00F100CC" w:rsidRPr="008C043E">
        <w:rPr>
          <w:b/>
          <w:bCs/>
          <w:szCs w:val="20"/>
        </w:rPr>
        <w:t xml:space="preserve">AVIATION METEOROLOGICAL CONFERENCES - ECMA-2015, </w:t>
      </w:r>
      <w:r w:rsidR="00F100CC">
        <w:rPr>
          <w:b/>
          <w:bCs/>
          <w:szCs w:val="20"/>
        </w:rPr>
        <w:tab/>
      </w:r>
      <w:r w:rsidR="00F100CC" w:rsidRPr="008C043E">
        <w:rPr>
          <w:b/>
          <w:bCs/>
          <w:szCs w:val="20"/>
        </w:rPr>
        <w:t>ACMA-2016, RA II AVIATION CONFERENCE 2017</w:t>
      </w:r>
    </w:p>
    <w:p w:rsidR="006F1FCD" w:rsidRPr="002A0BB4" w:rsidRDefault="006F1FCD" w:rsidP="006F1FCD">
      <w:pPr>
        <w:pStyle w:val="Default"/>
        <w:rPr>
          <w:sz w:val="20"/>
          <w:szCs w:val="20"/>
        </w:rPr>
      </w:pPr>
      <w:r w:rsidRPr="002A0BB4">
        <w:rPr>
          <w:sz w:val="20"/>
          <w:szCs w:val="20"/>
        </w:rPr>
        <w:br/>
      </w:r>
    </w:p>
    <w:p w:rsidR="00E416A3" w:rsidRDefault="00E416A3" w:rsidP="00E416A3">
      <w:pPr>
        <w:pStyle w:val="Default"/>
        <w:numPr>
          <w:ilvl w:val="0"/>
          <w:numId w:val="43"/>
        </w:numPr>
        <w:ind w:hanging="720"/>
        <w:rPr>
          <w:b/>
          <w:bCs/>
          <w:sz w:val="20"/>
          <w:szCs w:val="20"/>
        </w:rPr>
      </w:pPr>
      <w:r w:rsidRPr="00E416A3">
        <w:rPr>
          <w:b/>
          <w:bCs/>
          <w:sz w:val="20"/>
          <w:szCs w:val="20"/>
        </w:rPr>
        <w:t>SUMMARY F</w:t>
      </w:r>
      <w:r>
        <w:rPr>
          <w:b/>
          <w:bCs/>
          <w:sz w:val="20"/>
          <w:szCs w:val="20"/>
        </w:rPr>
        <w:t>OR INCLUSION IN THE FINAL REPORT</w:t>
      </w:r>
    </w:p>
    <w:p w:rsidR="00E416A3" w:rsidRDefault="00E416A3" w:rsidP="00E416A3">
      <w:pPr>
        <w:pStyle w:val="Default"/>
        <w:rPr>
          <w:sz w:val="20"/>
          <w:szCs w:val="20"/>
        </w:rPr>
      </w:pPr>
    </w:p>
    <w:p w:rsidR="008C043E" w:rsidRDefault="0002386A" w:rsidP="0090250F">
      <w:pPr>
        <w:pStyle w:val="Default"/>
        <w:tabs>
          <w:tab w:val="left" w:pos="567"/>
          <w:tab w:val="left" w:pos="709"/>
        </w:tabs>
        <w:rPr>
          <w:sz w:val="20"/>
          <w:szCs w:val="20"/>
        </w:rPr>
      </w:pPr>
      <w:r>
        <w:rPr>
          <w:sz w:val="20"/>
          <w:szCs w:val="20"/>
        </w:rPr>
        <w:t>1</w:t>
      </w:r>
      <w:r w:rsidR="00756EBB">
        <w:rPr>
          <w:sz w:val="20"/>
          <w:szCs w:val="20"/>
        </w:rPr>
        <w:t>.1</w:t>
      </w:r>
      <w:r w:rsidR="00756EBB">
        <w:rPr>
          <w:sz w:val="20"/>
          <w:szCs w:val="20"/>
        </w:rPr>
        <w:tab/>
      </w:r>
      <w:r w:rsidR="0090250F">
        <w:rPr>
          <w:sz w:val="20"/>
          <w:szCs w:val="20"/>
        </w:rPr>
        <w:tab/>
      </w:r>
      <w:r w:rsidR="008C043E">
        <w:rPr>
          <w:sz w:val="20"/>
          <w:szCs w:val="20"/>
        </w:rPr>
        <w:t xml:space="preserve">The meeting was informed of the successful conduct of the </w:t>
      </w:r>
      <w:r w:rsidR="008C043E" w:rsidRPr="008C043E">
        <w:rPr>
          <w:sz w:val="20"/>
          <w:szCs w:val="20"/>
        </w:rPr>
        <w:t>RA VI European Conference on Meteorology for Aviation (ECMA-2015), 13-14 October 2015, Vienna, Austria</w:t>
      </w:r>
      <w:r w:rsidR="008C043E">
        <w:rPr>
          <w:sz w:val="20"/>
          <w:szCs w:val="20"/>
        </w:rPr>
        <w:t>.</w:t>
      </w:r>
      <w:r w:rsidR="008C043E" w:rsidRPr="008C043E">
        <w:rPr>
          <w:sz w:val="20"/>
          <w:szCs w:val="20"/>
        </w:rPr>
        <w:t xml:space="preserve"> </w:t>
      </w:r>
      <w:r w:rsidR="008C043E">
        <w:rPr>
          <w:sz w:val="20"/>
          <w:szCs w:val="20"/>
        </w:rPr>
        <w:br/>
      </w:r>
      <w:r w:rsidR="008C043E" w:rsidRPr="008C043E">
        <w:rPr>
          <w:sz w:val="20"/>
          <w:szCs w:val="20"/>
        </w:rPr>
        <w:t xml:space="preserve">(website: </w:t>
      </w:r>
      <w:hyperlink r:id="rId10" w:history="1">
        <w:r w:rsidR="008C043E" w:rsidRPr="00486D10">
          <w:rPr>
            <w:rStyle w:val="Hyperlink"/>
            <w:sz w:val="20"/>
            <w:szCs w:val="20"/>
          </w:rPr>
          <w:t>http://www.wmo.int/aemp/ecma-2015</w:t>
        </w:r>
      </w:hyperlink>
      <w:r w:rsidR="008C043E" w:rsidRPr="008C043E">
        <w:rPr>
          <w:sz w:val="20"/>
          <w:szCs w:val="20"/>
        </w:rPr>
        <w:t>; full report:</w:t>
      </w:r>
      <w:r w:rsidR="008C043E">
        <w:rPr>
          <w:sz w:val="20"/>
          <w:szCs w:val="20"/>
        </w:rPr>
        <w:t xml:space="preserve"> </w:t>
      </w:r>
      <w:r w:rsidR="008C043E" w:rsidRPr="008C043E">
        <w:rPr>
          <w:sz w:val="20"/>
          <w:szCs w:val="20"/>
        </w:rPr>
        <w:t xml:space="preserve"> </w:t>
      </w:r>
      <w:hyperlink r:id="rId11" w:history="1">
        <w:r w:rsidR="008C043E" w:rsidRPr="00486D10">
          <w:rPr>
            <w:rStyle w:val="Hyperlink"/>
            <w:sz w:val="20"/>
            <w:szCs w:val="20"/>
          </w:rPr>
          <w:t>http://www.wmo.int/aemp/sites/default/files/ecma_final_report_v04.pdf</w:t>
        </w:r>
      </w:hyperlink>
      <w:r w:rsidR="008C043E">
        <w:rPr>
          <w:sz w:val="20"/>
          <w:szCs w:val="20"/>
        </w:rPr>
        <w:t xml:space="preserve"> )</w:t>
      </w:r>
      <w:r w:rsidR="00756EBB">
        <w:rPr>
          <w:sz w:val="20"/>
          <w:szCs w:val="20"/>
        </w:rPr>
        <w:t>.</w:t>
      </w:r>
    </w:p>
    <w:p w:rsidR="00756EBB" w:rsidRDefault="00756EBB" w:rsidP="0090250F">
      <w:pPr>
        <w:pStyle w:val="Default"/>
        <w:tabs>
          <w:tab w:val="left" w:pos="567"/>
          <w:tab w:val="left" w:pos="851"/>
        </w:tabs>
        <w:rPr>
          <w:sz w:val="20"/>
          <w:szCs w:val="20"/>
        </w:rPr>
      </w:pPr>
    </w:p>
    <w:p w:rsidR="00756EBB" w:rsidRDefault="0002386A" w:rsidP="0090250F">
      <w:pPr>
        <w:pStyle w:val="Default"/>
        <w:tabs>
          <w:tab w:val="left" w:pos="567"/>
          <w:tab w:val="left" w:pos="709"/>
        </w:tabs>
        <w:rPr>
          <w:sz w:val="20"/>
          <w:szCs w:val="20"/>
        </w:rPr>
      </w:pPr>
      <w:r>
        <w:rPr>
          <w:sz w:val="20"/>
          <w:szCs w:val="20"/>
        </w:rPr>
        <w:t>1</w:t>
      </w:r>
      <w:r w:rsidR="00756EBB">
        <w:rPr>
          <w:sz w:val="20"/>
          <w:szCs w:val="20"/>
        </w:rPr>
        <w:t>.2</w:t>
      </w:r>
      <w:r w:rsidR="00756EBB">
        <w:rPr>
          <w:sz w:val="20"/>
          <w:szCs w:val="20"/>
        </w:rPr>
        <w:tab/>
      </w:r>
      <w:r w:rsidR="0090250F">
        <w:rPr>
          <w:sz w:val="20"/>
          <w:szCs w:val="20"/>
        </w:rPr>
        <w:tab/>
      </w:r>
      <w:r w:rsidR="00756EBB">
        <w:rPr>
          <w:sz w:val="20"/>
          <w:szCs w:val="20"/>
        </w:rPr>
        <w:t xml:space="preserve">ET-CCP considered the communication issues related to the ICAO GANP and ASBU developments that will affect the service delivery by the Members, including many NMHSs. The envisaged performance improvements in all areas of air navigation services and the utilization of new concepts like TBO, should be better understood by the MET community in order to adapt to the new requirements and business models. Therefore, awareness events like ECMA-2015 are of great importance and the </w:t>
      </w:r>
      <w:proofErr w:type="spellStart"/>
      <w:r w:rsidR="00756EBB">
        <w:rPr>
          <w:sz w:val="20"/>
          <w:szCs w:val="20"/>
        </w:rPr>
        <w:t>CAeM</w:t>
      </w:r>
      <w:proofErr w:type="spellEnd"/>
      <w:r w:rsidR="00756EBB">
        <w:rPr>
          <w:sz w:val="20"/>
          <w:szCs w:val="20"/>
        </w:rPr>
        <w:t xml:space="preserve"> contribution to these events should be a high priority.</w:t>
      </w:r>
    </w:p>
    <w:p w:rsidR="00756EBB" w:rsidRDefault="00756EBB" w:rsidP="0090250F">
      <w:pPr>
        <w:pStyle w:val="Default"/>
        <w:tabs>
          <w:tab w:val="left" w:pos="567"/>
          <w:tab w:val="left" w:pos="851"/>
        </w:tabs>
        <w:rPr>
          <w:sz w:val="20"/>
          <w:szCs w:val="20"/>
        </w:rPr>
      </w:pPr>
    </w:p>
    <w:p w:rsidR="00535821" w:rsidRDefault="0002386A" w:rsidP="0090250F">
      <w:pPr>
        <w:pStyle w:val="Default"/>
        <w:tabs>
          <w:tab w:val="left" w:pos="567"/>
          <w:tab w:val="left" w:pos="709"/>
        </w:tabs>
        <w:rPr>
          <w:sz w:val="20"/>
          <w:szCs w:val="20"/>
        </w:rPr>
      </w:pPr>
      <w:r>
        <w:rPr>
          <w:sz w:val="20"/>
          <w:szCs w:val="20"/>
        </w:rPr>
        <w:t>1</w:t>
      </w:r>
      <w:r w:rsidR="00535821">
        <w:rPr>
          <w:sz w:val="20"/>
          <w:szCs w:val="20"/>
        </w:rPr>
        <w:t>.3</w:t>
      </w:r>
      <w:r w:rsidR="00756EBB">
        <w:rPr>
          <w:sz w:val="20"/>
          <w:szCs w:val="20"/>
        </w:rPr>
        <w:tab/>
      </w:r>
      <w:r w:rsidR="0090250F">
        <w:rPr>
          <w:sz w:val="20"/>
          <w:szCs w:val="20"/>
        </w:rPr>
        <w:tab/>
      </w:r>
      <w:r w:rsidR="00756EBB">
        <w:rPr>
          <w:sz w:val="20"/>
          <w:szCs w:val="20"/>
        </w:rPr>
        <w:t xml:space="preserve">ET-CCP noted further </w:t>
      </w:r>
      <w:r w:rsidR="00535821">
        <w:rPr>
          <w:sz w:val="20"/>
          <w:szCs w:val="20"/>
        </w:rPr>
        <w:t>other</w:t>
      </w:r>
      <w:r w:rsidR="00756EBB">
        <w:rPr>
          <w:sz w:val="20"/>
          <w:szCs w:val="20"/>
        </w:rPr>
        <w:t xml:space="preserve"> </w:t>
      </w:r>
      <w:r w:rsidR="00535821">
        <w:rPr>
          <w:sz w:val="20"/>
          <w:szCs w:val="20"/>
        </w:rPr>
        <w:t>awareness events also conducted in 2015 as stand-alone events or as part of other forums:</w:t>
      </w:r>
    </w:p>
    <w:p w:rsidR="0090250F" w:rsidRDefault="0090250F" w:rsidP="0090250F">
      <w:pPr>
        <w:pStyle w:val="Default"/>
        <w:tabs>
          <w:tab w:val="left" w:pos="567"/>
          <w:tab w:val="left" w:pos="851"/>
        </w:tabs>
        <w:rPr>
          <w:sz w:val="20"/>
          <w:szCs w:val="20"/>
        </w:rPr>
      </w:pPr>
    </w:p>
    <w:p w:rsidR="00756EBB" w:rsidRDefault="00535821" w:rsidP="0090250F">
      <w:pPr>
        <w:pStyle w:val="Default"/>
        <w:numPr>
          <w:ilvl w:val="0"/>
          <w:numId w:val="44"/>
        </w:numPr>
        <w:tabs>
          <w:tab w:val="left" w:pos="1134"/>
        </w:tabs>
        <w:ind w:left="1134" w:hanging="425"/>
        <w:rPr>
          <w:sz w:val="20"/>
          <w:szCs w:val="20"/>
        </w:rPr>
      </w:pPr>
      <w:r>
        <w:rPr>
          <w:sz w:val="20"/>
          <w:szCs w:val="20"/>
        </w:rPr>
        <w:t xml:space="preserve">Session: </w:t>
      </w:r>
      <w:r w:rsidRPr="00535821">
        <w:rPr>
          <w:sz w:val="20"/>
          <w:szCs w:val="20"/>
        </w:rPr>
        <w:t>Safe Skies for Air Navigation over Africa</w:t>
      </w:r>
      <w:r>
        <w:rPr>
          <w:sz w:val="20"/>
          <w:szCs w:val="20"/>
        </w:rPr>
        <w:t xml:space="preserve">, </w:t>
      </w:r>
      <w:r w:rsidRPr="00535821">
        <w:rPr>
          <w:sz w:val="20"/>
          <w:szCs w:val="20"/>
        </w:rPr>
        <w:t>AMCOMET-3</w:t>
      </w:r>
      <w:r>
        <w:rPr>
          <w:sz w:val="20"/>
          <w:szCs w:val="20"/>
        </w:rPr>
        <w:t xml:space="preserve">, </w:t>
      </w:r>
      <w:r w:rsidRPr="00535821">
        <w:rPr>
          <w:sz w:val="20"/>
          <w:szCs w:val="20"/>
        </w:rPr>
        <w:t>Praia, Cabo Verde, 10 to 14 February 2015</w:t>
      </w:r>
      <w:r>
        <w:rPr>
          <w:sz w:val="20"/>
          <w:szCs w:val="20"/>
        </w:rPr>
        <w:t>;</w:t>
      </w:r>
      <w:r>
        <w:rPr>
          <w:sz w:val="20"/>
          <w:szCs w:val="20"/>
        </w:rPr>
        <w:tab/>
        <w:t xml:space="preserve"> </w:t>
      </w:r>
    </w:p>
    <w:p w:rsidR="00756EBB" w:rsidRDefault="00535821" w:rsidP="0090250F">
      <w:pPr>
        <w:pStyle w:val="Default"/>
        <w:numPr>
          <w:ilvl w:val="0"/>
          <w:numId w:val="44"/>
        </w:numPr>
        <w:tabs>
          <w:tab w:val="left" w:pos="1134"/>
        </w:tabs>
        <w:ind w:left="1134" w:hanging="425"/>
        <w:rPr>
          <w:sz w:val="20"/>
          <w:szCs w:val="20"/>
        </w:rPr>
      </w:pPr>
      <w:r w:rsidRPr="00535821">
        <w:rPr>
          <w:sz w:val="20"/>
          <w:szCs w:val="20"/>
        </w:rPr>
        <w:t>Regional Forum on Meteorological Services for Aviation Safety in Southeast Asia</w:t>
      </w:r>
      <w:r>
        <w:rPr>
          <w:sz w:val="20"/>
          <w:szCs w:val="20"/>
        </w:rPr>
        <w:t xml:space="preserve">, </w:t>
      </w:r>
      <w:r w:rsidRPr="00535821">
        <w:rPr>
          <w:sz w:val="20"/>
          <w:szCs w:val="20"/>
        </w:rPr>
        <w:t>Jakar</w:t>
      </w:r>
      <w:r>
        <w:rPr>
          <w:sz w:val="20"/>
          <w:szCs w:val="20"/>
        </w:rPr>
        <w:t xml:space="preserve">ta, Indonesia, 29–30 April 2015; </w:t>
      </w:r>
    </w:p>
    <w:p w:rsidR="00535821" w:rsidRDefault="00535821" w:rsidP="0090250F">
      <w:pPr>
        <w:pStyle w:val="Default"/>
        <w:numPr>
          <w:ilvl w:val="0"/>
          <w:numId w:val="44"/>
        </w:numPr>
        <w:tabs>
          <w:tab w:val="left" w:pos="1134"/>
        </w:tabs>
        <w:ind w:left="1134" w:hanging="425"/>
        <w:rPr>
          <w:sz w:val="20"/>
          <w:szCs w:val="20"/>
        </w:rPr>
      </w:pPr>
      <w:r>
        <w:rPr>
          <w:sz w:val="20"/>
          <w:szCs w:val="20"/>
        </w:rPr>
        <w:t>Side-event on Aeronautical Meteorology during Cg-17, 27 May 2015;</w:t>
      </w:r>
    </w:p>
    <w:p w:rsidR="00535821" w:rsidRDefault="00535821" w:rsidP="0090250F">
      <w:pPr>
        <w:pStyle w:val="Default"/>
        <w:numPr>
          <w:ilvl w:val="0"/>
          <w:numId w:val="44"/>
        </w:numPr>
        <w:tabs>
          <w:tab w:val="left" w:pos="1134"/>
        </w:tabs>
        <w:ind w:left="1134" w:hanging="425"/>
        <w:rPr>
          <w:sz w:val="20"/>
          <w:szCs w:val="20"/>
        </w:rPr>
      </w:pPr>
      <w:r w:rsidRPr="003519B0">
        <w:rPr>
          <w:sz w:val="20"/>
          <w:szCs w:val="20"/>
        </w:rPr>
        <w:t xml:space="preserve">Session on </w:t>
      </w:r>
      <w:r w:rsidR="003519B0" w:rsidRPr="003519B0">
        <w:rPr>
          <w:sz w:val="20"/>
          <w:szCs w:val="20"/>
        </w:rPr>
        <w:t>Aeronautical Meteorology</w:t>
      </w:r>
      <w:r w:rsidRPr="003519B0">
        <w:rPr>
          <w:sz w:val="20"/>
          <w:szCs w:val="20"/>
        </w:rPr>
        <w:t xml:space="preserve"> during </w:t>
      </w:r>
      <w:r w:rsidR="003519B0" w:rsidRPr="003519B0">
        <w:rPr>
          <w:sz w:val="20"/>
          <w:szCs w:val="20"/>
        </w:rPr>
        <w:t xml:space="preserve">the Regional Forum for Directors of NMHSs in Regional </w:t>
      </w:r>
      <w:r w:rsidR="003519B0">
        <w:rPr>
          <w:sz w:val="20"/>
          <w:szCs w:val="20"/>
        </w:rPr>
        <w:t>A</w:t>
      </w:r>
      <w:r w:rsidR="003519B0" w:rsidRPr="003519B0">
        <w:rPr>
          <w:sz w:val="20"/>
          <w:szCs w:val="20"/>
        </w:rPr>
        <w:t xml:space="preserve">ssociation </w:t>
      </w:r>
      <w:r w:rsidR="003519B0">
        <w:rPr>
          <w:sz w:val="20"/>
          <w:szCs w:val="20"/>
        </w:rPr>
        <w:t>V</w:t>
      </w:r>
      <w:r w:rsidR="003519B0" w:rsidRPr="003519B0">
        <w:rPr>
          <w:sz w:val="20"/>
          <w:szCs w:val="20"/>
        </w:rPr>
        <w:t xml:space="preserve"> (</w:t>
      </w:r>
      <w:r w:rsidR="003519B0">
        <w:rPr>
          <w:sz w:val="20"/>
          <w:szCs w:val="20"/>
        </w:rPr>
        <w:t>S</w:t>
      </w:r>
      <w:r w:rsidR="003519B0" w:rsidRPr="003519B0">
        <w:rPr>
          <w:sz w:val="20"/>
          <w:szCs w:val="20"/>
        </w:rPr>
        <w:t>outh-</w:t>
      </w:r>
      <w:r w:rsidR="003519B0">
        <w:rPr>
          <w:sz w:val="20"/>
          <w:szCs w:val="20"/>
        </w:rPr>
        <w:t>W</w:t>
      </w:r>
      <w:r w:rsidR="003519B0" w:rsidRPr="003519B0">
        <w:rPr>
          <w:sz w:val="20"/>
          <w:szCs w:val="20"/>
        </w:rPr>
        <w:t xml:space="preserve">est </w:t>
      </w:r>
      <w:r w:rsidR="003519B0">
        <w:rPr>
          <w:sz w:val="20"/>
          <w:szCs w:val="20"/>
        </w:rPr>
        <w:t>P</w:t>
      </w:r>
      <w:r w:rsidR="003519B0" w:rsidRPr="003519B0">
        <w:rPr>
          <w:sz w:val="20"/>
          <w:szCs w:val="20"/>
        </w:rPr>
        <w:t>acific)</w:t>
      </w:r>
      <w:r w:rsidR="003519B0">
        <w:rPr>
          <w:sz w:val="20"/>
          <w:szCs w:val="20"/>
        </w:rPr>
        <w:t xml:space="preserve">, 28-30 October 2015, </w:t>
      </w:r>
      <w:proofErr w:type="spellStart"/>
      <w:r w:rsidR="003519B0">
        <w:rPr>
          <w:sz w:val="20"/>
          <w:szCs w:val="20"/>
        </w:rPr>
        <w:t>Nadi</w:t>
      </w:r>
      <w:proofErr w:type="spellEnd"/>
      <w:r w:rsidR="003519B0">
        <w:rPr>
          <w:sz w:val="20"/>
          <w:szCs w:val="20"/>
        </w:rPr>
        <w:t>, Fiji.</w:t>
      </w:r>
    </w:p>
    <w:p w:rsidR="003519B0" w:rsidRPr="003519B0" w:rsidRDefault="003519B0" w:rsidP="0090250F">
      <w:pPr>
        <w:pStyle w:val="Default"/>
        <w:tabs>
          <w:tab w:val="left" w:pos="851"/>
        </w:tabs>
        <w:ind w:left="720"/>
        <w:rPr>
          <w:sz w:val="20"/>
          <w:szCs w:val="20"/>
        </w:rPr>
      </w:pPr>
    </w:p>
    <w:p w:rsidR="00535821" w:rsidRDefault="0002386A" w:rsidP="0090250F">
      <w:pPr>
        <w:pStyle w:val="Default"/>
        <w:tabs>
          <w:tab w:val="left" w:pos="567"/>
          <w:tab w:val="left" w:pos="709"/>
        </w:tabs>
        <w:rPr>
          <w:sz w:val="20"/>
          <w:szCs w:val="20"/>
        </w:rPr>
      </w:pPr>
      <w:r>
        <w:rPr>
          <w:sz w:val="20"/>
          <w:szCs w:val="20"/>
        </w:rPr>
        <w:t>1</w:t>
      </w:r>
      <w:r w:rsidR="00535821">
        <w:rPr>
          <w:sz w:val="20"/>
          <w:szCs w:val="20"/>
        </w:rPr>
        <w:t>.4</w:t>
      </w:r>
      <w:r w:rsidR="00535821">
        <w:rPr>
          <w:sz w:val="20"/>
          <w:szCs w:val="20"/>
        </w:rPr>
        <w:tab/>
      </w:r>
      <w:r w:rsidR="0090250F">
        <w:rPr>
          <w:sz w:val="20"/>
          <w:szCs w:val="20"/>
        </w:rPr>
        <w:tab/>
      </w:r>
      <w:r w:rsidR="00535821">
        <w:rPr>
          <w:sz w:val="20"/>
          <w:szCs w:val="20"/>
        </w:rPr>
        <w:t xml:space="preserve">The meeting noted the progress with the organization of the African Conference on Meteorology for Aviation (ACMA-2016) which is currently scheduled for 2 to 4 November 2016 in Libreville, Gabon. The conference will be supported by the ASECNA. </w:t>
      </w:r>
    </w:p>
    <w:p w:rsidR="00535821" w:rsidRDefault="00535821" w:rsidP="0090250F">
      <w:pPr>
        <w:pStyle w:val="Default"/>
        <w:tabs>
          <w:tab w:val="left" w:pos="567"/>
          <w:tab w:val="left" w:pos="709"/>
        </w:tabs>
        <w:rPr>
          <w:i/>
          <w:iCs/>
          <w:sz w:val="20"/>
          <w:szCs w:val="20"/>
        </w:rPr>
      </w:pPr>
      <w:r w:rsidRPr="00756EBB">
        <w:rPr>
          <w:i/>
          <w:iCs/>
          <w:sz w:val="20"/>
          <w:szCs w:val="20"/>
        </w:rPr>
        <w:t xml:space="preserve">(more information to be provided by </w:t>
      </w:r>
      <w:proofErr w:type="spellStart"/>
      <w:r w:rsidRPr="00756EBB">
        <w:rPr>
          <w:i/>
          <w:iCs/>
          <w:sz w:val="20"/>
          <w:szCs w:val="20"/>
        </w:rPr>
        <w:t>Gabo</w:t>
      </w:r>
      <w:r w:rsidR="0090250F">
        <w:rPr>
          <w:i/>
          <w:iCs/>
          <w:sz w:val="20"/>
          <w:szCs w:val="20"/>
        </w:rPr>
        <w:t>rekwe</w:t>
      </w:r>
      <w:proofErr w:type="spellEnd"/>
      <w:r w:rsidR="0090250F">
        <w:rPr>
          <w:i/>
          <w:iCs/>
          <w:sz w:val="20"/>
          <w:szCs w:val="20"/>
        </w:rPr>
        <w:t xml:space="preserve"> </w:t>
      </w:r>
      <w:proofErr w:type="spellStart"/>
      <w:r w:rsidR="0090250F">
        <w:rPr>
          <w:i/>
          <w:iCs/>
          <w:sz w:val="20"/>
          <w:szCs w:val="20"/>
        </w:rPr>
        <w:t>Khambule</w:t>
      </w:r>
      <w:proofErr w:type="spellEnd"/>
      <w:r w:rsidRPr="00756EBB">
        <w:rPr>
          <w:i/>
          <w:iCs/>
          <w:sz w:val="20"/>
          <w:szCs w:val="20"/>
        </w:rPr>
        <w:t>)</w:t>
      </w:r>
      <w:r w:rsidRPr="00756EBB">
        <w:rPr>
          <w:i/>
          <w:iCs/>
          <w:sz w:val="20"/>
          <w:szCs w:val="20"/>
        </w:rPr>
        <w:tab/>
      </w:r>
    </w:p>
    <w:p w:rsidR="003519B0" w:rsidRDefault="003519B0" w:rsidP="0090250F">
      <w:pPr>
        <w:pStyle w:val="Default"/>
        <w:tabs>
          <w:tab w:val="left" w:pos="567"/>
          <w:tab w:val="left" w:pos="709"/>
        </w:tabs>
        <w:rPr>
          <w:i/>
          <w:iCs/>
          <w:sz w:val="20"/>
          <w:szCs w:val="20"/>
        </w:rPr>
      </w:pPr>
    </w:p>
    <w:p w:rsidR="003519B0" w:rsidRDefault="0002386A" w:rsidP="0090250F">
      <w:pPr>
        <w:pStyle w:val="Default"/>
        <w:tabs>
          <w:tab w:val="left" w:pos="567"/>
          <w:tab w:val="left" w:pos="709"/>
        </w:tabs>
        <w:rPr>
          <w:sz w:val="20"/>
          <w:szCs w:val="20"/>
        </w:rPr>
      </w:pPr>
      <w:r>
        <w:rPr>
          <w:sz w:val="20"/>
          <w:szCs w:val="20"/>
        </w:rPr>
        <w:t>1</w:t>
      </w:r>
      <w:r w:rsidR="003519B0">
        <w:rPr>
          <w:sz w:val="20"/>
          <w:szCs w:val="20"/>
        </w:rPr>
        <w:t>.5</w:t>
      </w:r>
      <w:r w:rsidR="003519B0">
        <w:rPr>
          <w:sz w:val="20"/>
          <w:szCs w:val="20"/>
        </w:rPr>
        <w:tab/>
      </w:r>
      <w:r w:rsidR="0090250F">
        <w:rPr>
          <w:sz w:val="20"/>
          <w:szCs w:val="20"/>
        </w:rPr>
        <w:tab/>
      </w:r>
      <w:r w:rsidR="003519B0">
        <w:rPr>
          <w:sz w:val="20"/>
          <w:szCs w:val="20"/>
        </w:rPr>
        <w:t xml:space="preserve">Coordination has taken place with the President of RA II (Asia) for allocating one full day of the RA II RECO in 2017 (dates TBD) for aviation awareness session. </w:t>
      </w:r>
    </w:p>
    <w:p w:rsidR="003519B0" w:rsidRDefault="003519B0" w:rsidP="0090250F">
      <w:pPr>
        <w:pStyle w:val="Default"/>
        <w:tabs>
          <w:tab w:val="left" w:pos="567"/>
          <w:tab w:val="left" w:pos="709"/>
        </w:tabs>
        <w:rPr>
          <w:sz w:val="20"/>
          <w:szCs w:val="20"/>
        </w:rPr>
      </w:pPr>
      <w:r>
        <w:rPr>
          <w:sz w:val="20"/>
          <w:szCs w:val="20"/>
        </w:rPr>
        <w:t>(</w:t>
      </w:r>
      <w:r w:rsidRPr="003519B0">
        <w:rPr>
          <w:i/>
          <w:iCs/>
          <w:sz w:val="20"/>
          <w:szCs w:val="20"/>
        </w:rPr>
        <w:t>more information from B</w:t>
      </w:r>
      <w:r w:rsidR="0090250F">
        <w:rPr>
          <w:i/>
          <w:iCs/>
          <w:sz w:val="20"/>
          <w:szCs w:val="20"/>
        </w:rPr>
        <w:t>.</w:t>
      </w:r>
      <w:r w:rsidRPr="003519B0">
        <w:rPr>
          <w:i/>
          <w:iCs/>
          <w:sz w:val="20"/>
          <w:szCs w:val="20"/>
        </w:rPr>
        <w:t>L</w:t>
      </w:r>
      <w:r w:rsidR="0090250F">
        <w:rPr>
          <w:i/>
          <w:iCs/>
          <w:sz w:val="20"/>
          <w:szCs w:val="20"/>
        </w:rPr>
        <w:t>.</w:t>
      </w:r>
      <w:r w:rsidRPr="003519B0">
        <w:rPr>
          <w:i/>
          <w:iCs/>
          <w:sz w:val="20"/>
          <w:szCs w:val="20"/>
        </w:rPr>
        <w:t xml:space="preserve"> Choy</w:t>
      </w:r>
      <w:r>
        <w:rPr>
          <w:sz w:val="20"/>
          <w:szCs w:val="20"/>
        </w:rPr>
        <w:t>)</w:t>
      </w:r>
    </w:p>
    <w:p w:rsidR="003519B0" w:rsidRDefault="003519B0" w:rsidP="0090250F">
      <w:pPr>
        <w:pStyle w:val="Default"/>
        <w:tabs>
          <w:tab w:val="left" w:pos="567"/>
          <w:tab w:val="left" w:pos="709"/>
        </w:tabs>
        <w:rPr>
          <w:sz w:val="20"/>
          <w:szCs w:val="20"/>
        </w:rPr>
      </w:pPr>
    </w:p>
    <w:p w:rsidR="003519B0" w:rsidRDefault="0002386A" w:rsidP="0090250F">
      <w:pPr>
        <w:pStyle w:val="Default"/>
        <w:tabs>
          <w:tab w:val="left" w:pos="567"/>
          <w:tab w:val="left" w:pos="709"/>
        </w:tabs>
        <w:rPr>
          <w:sz w:val="20"/>
          <w:szCs w:val="20"/>
        </w:rPr>
      </w:pPr>
      <w:r>
        <w:rPr>
          <w:sz w:val="20"/>
          <w:szCs w:val="20"/>
        </w:rPr>
        <w:t>1</w:t>
      </w:r>
      <w:r w:rsidR="003519B0">
        <w:rPr>
          <w:sz w:val="20"/>
          <w:szCs w:val="20"/>
        </w:rPr>
        <w:t>.6</w:t>
      </w:r>
      <w:r w:rsidR="003519B0">
        <w:rPr>
          <w:sz w:val="20"/>
          <w:szCs w:val="20"/>
        </w:rPr>
        <w:tab/>
      </w:r>
      <w:r w:rsidR="0090250F">
        <w:rPr>
          <w:sz w:val="20"/>
          <w:szCs w:val="20"/>
        </w:rPr>
        <w:tab/>
      </w:r>
      <w:r w:rsidR="003519B0">
        <w:rPr>
          <w:sz w:val="20"/>
          <w:szCs w:val="20"/>
        </w:rPr>
        <w:t>Initial talks have been carried out regarding the organization of a regional awareness event in RA III (informal coordination for hosting the event by Uruguay), however, further coordination is necessary. It should also be considered whether the event should be organized conjointly with RA IV.</w:t>
      </w:r>
    </w:p>
    <w:p w:rsidR="003519B0" w:rsidRPr="003519B0" w:rsidRDefault="003519B0" w:rsidP="0090250F">
      <w:pPr>
        <w:pStyle w:val="Default"/>
        <w:tabs>
          <w:tab w:val="left" w:pos="567"/>
          <w:tab w:val="left" w:pos="709"/>
        </w:tabs>
        <w:rPr>
          <w:i/>
          <w:iCs/>
          <w:sz w:val="20"/>
          <w:szCs w:val="20"/>
        </w:rPr>
      </w:pPr>
      <w:r w:rsidRPr="003519B0">
        <w:rPr>
          <w:i/>
          <w:iCs/>
          <w:sz w:val="20"/>
          <w:szCs w:val="20"/>
        </w:rPr>
        <w:t xml:space="preserve">(further discussion during the ET-CCP meeting and allocation of tasks necessary) </w:t>
      </w:r>
    </w:p>
    <w:p w:rsidR="00535821" w:rsidRDefault="00535821" w:rsidP="0090250F">
      <w:pPr>
        <w:pStyle w:val="Default"/>
        <w:tabs>
          <w:tab w:val="left" w:pos="851"/>
        </w:tabs>
        <w:rPr>
          <w:sz w:val="20"/>
          <w:szCs w:val="20"/>
        </w:rPr>
      </w:pPr>
    </w:p>
    <w:p w:rsidR="00756EBB" w:rsidRDefault="0002386A" w:rsidP="0090250F">
      <w:pPr>
        <w:pStyle w:val="Default"/>
        <w:tabs>
          <w:tab w:val="left" w:pos="709"/>
        </w:tabs>
        <w:rPr>
          <w:sz w:val="20"/>
          <w:szCs w:val="20"/>
        </w:rPr>
      </w:pPr>
      <w:r>
        <w:rPr>
          <w:sz w:val="20"/>
          <w:szCs w:val="20"/>
        </w:rPr>
        <w:t>1</w:t>
      </w:r>
      <w:r w:rsidR="0090250F">
        <w:rPr>
          <w:sz w:val="20"/>
          <w:szCs w:val="20"/>
        </w:rPr>
        <w:t>.7</w:t>
      </w:r>
      <w:r w:rsidR="0090250F">
        <w:rPr>
          <w:sz w:val="20"/>
          <w:szCs w:val="20"/>
        </w:rPr>
        <w:tab/>
      </w:r>
      <w:r w:rsidR="003519B0">
        <w:rPr>
          <w:sz w:val="20"/>
          <w:szCs w:val="20"/>
        </w:rPr>
        <w:t>ET-CCP noted that the need to manage the expectations about the outcome from these regional awareness events. As demonstrated by ECMA-2015, it is very difficult to achieve a regional consensus on some hot topics like the regionalization of services</w:t>
      </w:r>
      <w:r w:rsidR="00532280">
        <w:rPr>
          <w:sz w:val="20"/>
          <w:szCs w:val="20"/>
        </w:rPr>
        <w:t xml:space="preserve">, regional cost-recovery, etc. The engagement of the aviation stakeholders in order to better understand their </w:t>
      </w:r>
      <w:r w:rsidR="00532280">
        <w:rPr>
          <w:sz w:val="20"/>
          <w:szCs w:val="20"/>
        </w:rPr>
        <w:lastRenderedPageBreak/>
        <w:t xml:space="preserve">needs and business models is vital for the aviation MET service providers to build their future plans and strategy. Also, where possible, it is important to hear from the private sector. The focus of the regional events should remain on raising the awareness of all Members States, including those that are less engaged in the on-going </w:t>
      </w:r>
      <w:proofErr w:type="spellStart"/>
      <w:r w:rsidR="00532280">
        <w:rPr>
          <w:sz w:val="20"/>
          <w:szCs w:val="20"/>
        </w:rPr>
        <w:t>CAeM</w:t>
      </w:r>
      <w:proofErr w:type="spellEnd"/>
      <w:r w:rsidR="00532280">
        <w:rPr>
          <w:sz w:val="20"/>
          <w:szCs w:val="20"/>
        </w:rPr>
        <w:t xml:space="preserve"> and ICAO MET Panel meetings and discussions; thus, the approach of ECMA-2015 to formulate “key messages” instead of “recommendations” might be suitable for other regional events. Nevertheless, a main outcome from all these events would be to promote the recent ICAO slogan of “no country left behind” and encourage stronger cooperation between the Members in order to meet the  GANP and ASBU challenges through an inclusive approach.</w:t>
      </w:r>
    </w:p>
    <w:p w:rsidR="00756EBB" w:rsidRDefault="00756EBB" w:rsidP="00756EBB">
      <w:pPr>
        <w:pStyle w:val="Default"/>
        <w:rPr>
          <w:sz w:val="20"/>
          <w:szCs w:val="20"/>
        </w:rPr>
      </w:pPr>
    </w:p>
    <w:p w:rsidR="00E416A3" w:rsidRDefault="00E416A3" w:rsidP="002A0BB4">
      <w:pPr>
        <w:pStyle w:val="Default"/>
        <w:numPr>
          <w:ilvl w:val="0"/>
          <w:numId w:val="43"/>
        </w:numPr>
        <w:ind w:hanging="720"/>
        <w:rPr>
          <w:b/>
          <w:bCs/>
          <w:sz w:val="20"/>
          <w:szCs w:val="20"/>
        </w:rPr>
      </w:pPr>
      <w:r>
        <w:rPr>
          <w:b/>
          <w:bCs/>
          <w:sz w:val="20"/>
          <w:szCs w:val="20"/>
        </w:rPr>
        <w:t>PROGRESS/ACTIVITY REPORT</w:t>
      </w:r>
    </w:p>
    <w:p w:rsidR="00E416A3" w:rsidRPr="00E416A3" w:rsidRDefault="00E416A3" w:rsidP="00E416A3">
      <w:pPr>
        <w:pStyle w:val="Default"/>
        <w:ind w:left="709" w:hanging="709"/>
        <w:rPr>
          <w:sz w:val="20"/>
          <w:szCs w:val="20"/>
        </w:rPr>
      </w:pPr>
    </w:p>
    <w:p w:rsidR="00756EBB" w:rsidRDefault="00756EBB" w:rsidP="00756EBB">
      <w:pPr>
        <w:pStyle w:val="Default"/>
        <w:rPr>
          <w:sz w:val="20"/>
          <w:szCs w:val="20"/>
        </w:rPr>
      </w:pPr>
      <w:bookmarkStart w:id="0" w:name="_GoBack"/>
      <w:bookmarkEnd w:id="0"/>
      <w:r>
        <w:rPr>
          <w:sz w:val="20"/>
          <w:szCs w:val="20"/>
        </w:rPr>
        <w:t xml:space="preserve">ECMA-2015 was organized as a follow-up of </w:t>
      </w:r>
      <w:r w:rsidRPr="008C043E">
        <w:rPr>
          <w:sz w:val="20"/>
          <w:szCs w:val="20"/>
        </w:rPr>
        <w:t xml:space="preserve">Resolution 66 (Cg-17) calling for regional and </w:t>
      </w:r>
      <w:proofErr w:type="spellStart"/>
      <w:r w:rsidRPr="008C043E">
        <w:rPr>
          <w:sz w:val="20"/>
          <w:szCs w:val="20"/>
        </w:rPr>
        <w:t>subregional</w:t>
      </w:r>
      <w:proofErr w:type="spellEnd"/>
      <w:r w:rsidRPr="008C043E">
        <w:rPr>
          <w:sz w:val="20"/>
          <w:szCs w:val="20"/>
        </w:rPr>
        <w:t xml:space="preserve"> events intended to raise the awareness of Members </w:t>
      </w:r>
      <w:r>
        <w:rPr>
          <w:sz w:val="20"/>
          <w:szCs w:val="20"/>
        </w:rPr>
        <w:t xml:space="preserve">to </w:t>
      </w:r>
      <w:r w:rsidRPr="008C043E">
        <w:rPr>
          <w:sz w:val="20"/>
          <w:szCs w:val="20"/>
        </w:rPr>
        <w:t>the GANP and ASBU impacts, risks and opportunities for the NMHSs</w:t>
      </w:r>
      <w:r>
        <w:rPr>
          <w:sz w:val="20"/>
          <w:szCs w:val="20"/>
        </w:rPr>
        <w:t xml:space="preserve">. It was a good example of collaborative action by a technical commission and a regional association – the </w:t>
      </w:r>
      <w:proofErr w:type="spellStart"/>
      <w:r>
        <w:rPr>
          <w:sz w:val="20"/>
          <w:szCs w:val="20"/>
        </w:rPr>
        <w:t>CAeM</w:t>
      </w:r>
      <w:proofErr w:type="spellEnd"/>
      <w:r>
        <w:rPr>
          <w:sz w:val="20"/>
          <w:szCs w:val="20"/>
        </w:rPr>
        <w:t xml:space="preserve"> and regional Association VI (Europe).</w:t>
      </w:r>
    </w:p>
    <w:p w:rsidR="00756EBB" w:rsidRDefault="00756EBB" w:rsidP="00756EBB">
      <w:pPr>
        <w:pStyle w:val="Default"/>
        <w:rPr>
          <w:sz w:val="20"/>
          <w:szCs w:val="20"/>
        </w:rPr>
      </w:pPr>
    </w:p>
    <w:p w:rsidR="00756EBB" w:rsidRDefault="00756EBB" w:rsidP="00756EBB">
      <w:pPr>
        <w:pStyle w:val="Default"/>
        <w:rPr>
          <w:sz w:val="20"/>
          <w:szCs w:val="20"/>
        </w:rPr>
      </w:pPr>
      <w:r>
        <w:rPr>
          <w:sz w:val="20"/>
          <w:szCs w:val="20"/>
        </w:rPr>
        <w:t>It was realized that the organization of such event was not easy, in particular, to ensure the attendance of the relevant stakeholders. An organizing committee (OC) was established for ECMA that included representatives of the RA VI Working Group of Service Delivery and Partn</w:t>
      </w:r>
      <w:r w:rsidR="00532280">
        <w:rPr>
          <w:sz w:val="20"/>
          <w:szCs w:val="20"/>
        </w:rPr>
        <w:t xml:space="preserve">ership, </w:t>
      </w:r>
      <w:proofErr w:type="spellStart"/>
      <w:r w:rsidR="00532280">
        <w:rPr>
          <w:sz w:val="20"/>
          <w:szCs w:val="20"/>
        </w:rPr>
        <w:t>CAeM</w:t>
      </w:r>
      <w:proofErr w:type="spellEnd"/>
      <w:r w:rsidR="00532280">
        <w:rPr>
          <w:sz w:val="20"/>
          <w:szCs w:val="20"/>
        </w:rPr>
        <w:t xml:space="preserve">, </w:t>
      </w:r>
      <w:r w:rsidR="0090250F">
        <w:rPr>
          <w:sz w:val="20"/>
          <w:szCs w:val="20"/>
        </w:rPr>
        <w:t>EUROCONTROL</w:t>
      </w:r>
      <w:r w:rsidR="00532280">
        <w:rPr>
          <w:sz w:val="20"/>
          <w:szCs w:val="20"/>
        </w:rPr>
        <w:t xml:space="preserve">, </w:t>
      </w:r>
      <w:proofErr w:type="spellStart"/>
      <w:r w:rsidR="00532280">
        <w:rPr>
          <w:sz w:val="20"/>
          <w:szCs w:val="20"/>
        </w:rPr>
        <w:t>NAMCon</w:t>
      </w:r>
      <w:proofErr w:type="spellEnd"/>
      <w:r w:rsidR="00532280">
        <w:rPr>
          <w:sz w:val="20"/>
          <w:szCs w:val="20"/>
        </w:rPr>
        <w:t xml:space="preserve">, EUMETNET, and several Members States. A preparatory meeting was held in Vienna early enough in order to coordinate the </w:t>
      </w:r>
      <w:proofErr w:type="spellStart"/>
      <w:r w:rsidR="00532280">
        <w:rPr>
          <w:sz w:val="20"/>
          <w:szCs w:val="20"/>
        </w:rPr>
        <w:t>programme</w:t>
      </w:r>
      <w:proofErr w:type="spellEnd"/>
      <w:r w:rsidR="00532280">
        <w:rPr>
          <w:sz w:val="20"/>
          <w:szCs w:val="20"/>
        </w:rPr>
        <w:t xml:space="preserve"> and identify key speakers and presenters. This approach should be followed in organizing similar events in other regions.</w:t>
      </w:r>
    </w:p>
    <w:p w:rsidR="00532280" w:rsidRDefault="00532280" w:rsidP="00756EBB">
      <w:pPr>
        <w:pStyle w:val="Default"/>
        <w:rPr>
          <w:sz w:val="20"/>
          <w:szCs w:val="20"/>
        </w:rPr>
      </w:pPr>
    </w:p>
    <w:p w:rsidR="00532280" w:rsidRPr="00E416A3" w:rsidRDefault="009E61F8" w:rsidP="009E61F8">
      <w:pPr>
        <w:pStyle w:val="Default"/>
        <w:rPr>
          <w:sz w:val="20"/>
          <w:szCs w:val="20"/>
        </w:rPr>
      </w:pPr>
      <w:r>
        <w:rPr>
          <w:sz w:val="20"/>
          <w:szCs w:val="20"/>
        </w:rPr>
        <w:t>It is strongly recommended to study the key messages formulated by ECMA-2015 since they are indicative for the current developments on a global scale. The European region has additional challenges related to the implementation of the EU Single European Sky (SES) policy and the SESAR project in which MET components have been incorporated in a comprehensive manner. In addition, the European experience in MET service provision through multi-national and sub-regional cooperation between Members (</w:t>
      </w:r>
      <w:proofErr w:type="spellStart"/>
      <w:r>
        <w:rPr>
          <w:sz w:val="20"/>
          <w:szCs w:val="20"/>
        </w:rPr>
        <w:t>NAMCon</w:t>
      </w:r>
      <w:proofErr w:type="spellEnd"/>
      <w:r>
        <w:rPr>
          <w:sz w:val="20"/>
          <w:szCs w:val="20"/>
        </w:rPr>
        <w:t>, Met Alliance, ICH-CIS) should be promoted and ET-CCP could play an important role in this regard.</w:t>
      </w:r>
    </w:p>
    <w:p w:rsidR="00E416A3" w:rsidRPr="00E416A3" w:rsidRDefault="00E416A3" w:rsidP="00E416A3">
      <w:pPr>
        <w:pStyle w:val="Default"/>
        <w:ind w:left="709" w:hanging="709"/>
        <w:rPr>
          <w:sz w:val="20"/>
          <w:szCs w:val="20"/>
        </w:rPr>
      </w:pPr>
    </w:p>
    <w:p w:rsidR="00E416A3" w:rsidRPr="00E416A3" w:rsidRDefault="00E416A3" w:rsidP="00E416A3">
      <w:pPr>
        <w:pStyle w:val="Default"/>
        <w:ind w:left="709" w:hanging="709"/>
        <w:rPr>
          <w:sz w:val="20"/>
          <w:szCs w:val="20"/>
        </w:rPr>
      </w:pPr>
    </w:p>
    <w:p w:rsidR="00E416A3" w:rsidRDefault="00E416A3" w:rsidP="002A0BB4">
      <w:pPr>
        <w:pStyle w:val="Default"/>
        <w:numPr>
          <w:ilvl w:val="0"/>
          <w:numId w:val="43"/>
        </w:numPr>
        <w:ind w:hanging="720"/>
        <w:rPr>
          <w:b/>
          <w:bCs/>
          <w:sz w:val="20"/>
          <w:szCs w:val="20"/>
        </w:rPr>
      </w:pPr>
      <w:r>
        <w:rPr>
          <w:b/>
          <w:bCs/>
          <w:sz w:val="20"/>
          <w:szCs w:val="20"/>
        </w:rPr>
        <w:t>ACTION/PLANS/RESPONSIBILITIES WITH DELIVERABLES</w:t>
      </w:r>
    </w:p>
    <w:p w:rsidR="00E416A3" w:rsidRPr="00E416A3" w:rsidRDefault="00E416A3" w:rsidP="00E416A3">
      <w:pPr>
        <w:pStyle w:val="Default"/>
        <w:ind w:left="720" w:hanging="720"/>
        <w:rPr>
          <w:sz w:val="20"/>
          <w:szCs w:val="20"/>
        </w:rPr>
      </w:pPr>
    </w:p>
    <w:p w:rsidR="00E416A3" w:rsidRPr="009E61F8" w:rsidRDefault="009E61F8" w:rsidP="00E416A3">
      <w:pPr>
        <w:pStyle w:val="Default"/>
        <w:rPr>
          <w:i/>
          <w:iCs/>
          <w:sz w:val="20"/>
          <w:szCs w:val="20"/>
        </w:rPr>
      </w:pPr>
      <w:r w:rsidRPr="009E61F8">
        <w:rPr>
          <w:i/>
          <w:iCs/>
          <w:sz w:val="20"/>
          <w:szCs w:val="20"/>
        </w:rPr>
        <w:t>(to be decided at the meeting)</w:t>
      </w:r>
    </w:p>
    <w:p w:rsidR="00E416A3" w:rsidRDefault="00E416A3" w:rsidP="002A0BB4">
      <w:pPr>
        <w:pStyle w:val="Default"/>
        <w:rPr>
          <w:sz w:val="20"/>
          <w:szCs w:val="20"/>
        </w:rPr>
      </w:pPr>
    </w:p>
    <w:sectPr w:rsidR="00E416A3" w:rsidSect="0020095E">
      <w:headerReference w:type="default" r:id="rId12"/>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06" w:rsidRDefault="00535706">
      <w:r>
        <w:separator/>
      </w:r>
    </w:p>
    <w:p w:rsidR="00535706" w:rsidRDefault="00535706"/>
    <w:p w:rsidR="00535706" w:rsidRDefault="00535706"/>
  </w:endnote>
  <w:endnote w:type="continuationSeparator" w:id="0">
    <w:p w:rsidR="00535706" w:rsidRDefault="00535706">
      <w:r>
        <w:continuationSeparator/>
      </w:r>
    </w:p>
    <w:p w:rsidR="00535706" w:rsidRDefault="00535706"/>
    <w:p w:rsidR="00535706" w:rsidRDefault="00535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06" w:rsidRDefault="00535706">
      <w:r>
        <w:separator/>
      </w:r>
    </w:p>
  </w:footnote>
  <w:footnote w:type="continuationSeparator" w:id="0">
    <w:p w:rsidR="00535706" w:rsidRDefault="00535706">
      <w:r>
        <w:continuationSeparator/>
      </w:r>
    </w:p>
    <w:p w:rsidR="00535706" w:rsidRDefault="00535706"/>
    <w:p w:rsidR="00535706" w:rsidRDefault="005357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2A" w:rsidRDefault="00532280" w:rsidP="00532280">
    <w:pPr>
      <w:pStyle w:val="Header"/>
    </w:pPr>
    <w:r w:rsidRPr="00532280">
      <w:rPr>
        <w:lang w:val="fr-CH"/>
      </w:rPr>
      <w:t>ET-CCP</w:t>
    </w:r>
    <w:r w:rsidR="00535706" w:rsidRPr="00532280">
      <w:rPr>
        <w:lang w:val="fr-CH"/>
      </w:rPr>
      <w:t>-1/Doc. </w:t>
    </w:r>
    <w:r>
      <w:rPr>
        <w:lang w:val="fr-CH"/>
      </w:rPr>
      <w:t>4.</w:t>
    </w:r>
    <w:r w:rsidR="00535706" w:rsidRPr="00532280">
      <w:rPr>
        <w:lang w:val="fr-CH"/>
      </w:rPr>
      <w:t>1</w:t>
    </w:r>
    <w:r w:rsidR="0020095E" w:rsidRPr="00532280">
      <w:rPr>
        <w:lang w:val="fr-CH"/>
      </w:rPr>
      <w:t xml:space="preserve">, p. </w:t>
    </w:r>
    <w:r w:rsidR="0020095E" w:rsidRPr="00C2459D">
      <w:rPr>
        <w:rStyle w:val="PageNumber"/>
      </w:rPr>
      <w:fldChar w:fldCharType="begin"/>
    </w:r>
    <w:r w:rsidR="0020095E" w:rsidRPr="00532280">
      <w:rPr>
        <w:rStyle w:val="PageNumber"/>
        <w:lang w:val="fr-CH"/>
      </w:rPr>
      <w:instrText xml:space="preserve"> PAGE </w:instrText>
    </w:r>
    <w:r w:rsidR="0020095E" w:rsidRPr="00C2459D">
      <w:rPr>
        <w:rStyle w:val="PageNumber"/>
      </w:rPr>
      <w:fldChar w:fldCharType="separate"/>
    </w:r>
    <w:r w:rsidR="0002386A">
      <w:rPr>
        <w:rStyle w:val="PageNumber"/>
        <w:noProof/>
        <w:lang w:val="fr-CH"/>
      </w:rPr>
      <w:t>2</w:t>
    </w:r>
    <w:r w:rsidR="0020095E" w:rsidRPr="00C2459D">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6CF936"/>
    <w:lvl w:ilvl="0">
      <w:start w:val="1"/>
      <w:numFmt w:val="decimal"/>
      <w:lvlText w:val="%1."/>
      <w:lvlJc w:val="left"/>
      <w:pPr>
        <w:tabs>
          <w:tab w:val="num" w:pos="1800"/>
        </w:tabs>
        <w:ind w:left="1800" w:hanging="360"/>
      </w:pPr>
    </w:lvl>
  </w:abstractNum>
  <w:abstractNum w:abstractNumId="1">
    <w:nsid w:val="FFFFFF7D"/>
    <w:multiLevelType w:val="singleLevel"/>
    <w:tmpl w:val="D4EAC2E2"/>
    <w:lvl w:ilvl="0">
      <w:start w:val="1"/>
      <w:numFmt w:val="decimal"/>
      <w:lvlText w:val="%1."/>
      <w:lvlJc w:val="left"/>
      <w:pPr>
        <w:tabs>
          <w:tab w:val="num" w:pos="1440"/>
        </w:tabs>
        <w:ind w:left="1440" w:hanging="360"/>
      </w:pPr>
    </w:lvl>
  </w:abstractNum>
  <w:abstractNum w:abstractNumId="2">
    <w:nsid w:val="FFFFFF7E"/>
    <w:multiLevelType w:val="singleLevel"/>
    <w:tmpl w:val="58AC24B6"/>
    <w:lvl w:ilvl="0">
      <w:start w:val="1"/>
      <w:numFmt w:val="decimal"/>
      <w:lvlText w:val="%1."/>
      <w:lvlJc w:val="left"/>
      <w:pPr>
        <w:tabs>
          <w:tab w:val="num" w:pos="1080"/>
        </w:tabs>
        <w:ind w:left="1080" w:hanging="360"/>
      </w:pPr>
    </w:lvl>
  </w:abstractNum>
  <w:abstractNum w:abstractNumId="3">
    <w:nsid w:val="FFFFFF7F"/>
    <w:multiLevelType w:val="singleLevel"/>
    <w:tmpl w:val="F6909F9A"/>
    <w:lvl w:ilvl="0">
      <w:start w:val="1"/>
      <w:numFmt w:val="decimal"/>
      <w:lvlText w:val="%1."/>
      <w:lvlJc w:val="left"/>
      <w:pPr>
        <w:tabs>
          <w:tab w:val="num" w:pos="720"/>
        </w:tabs>
        <w:ind w:left="720" w:hanging="360"/>
      </w:pPr>
    </w:lvl>
  </w:abstractNum>
  <w:abstractNum w:abstractNumId="4">
    <w:nsid w:val="FFFFFF80"/>
    <w:multiLevelType w:val="singleLevel"/>
    <w:tmpl w:val="F62EF9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CA4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0E55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8B7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DC2F74"/>
    <w:lvl w:ilvl="0">
      <w:start w:val="1"/>
      <w:numFmt w:val="decimal"/>
      <w:lvlText w:val="%1."/>
      <w:lvlJc w:val="left"/>
      <w:pPr>
        <w:tabs>
          <w:tab w:val="num" w:pos="360"/>
        </w:tabs>
        <w:ind w:left="360" w:hanging="360"/>
      </w:pPr>
    </w:lvl>
  </w:abstractNum>
  <w:abstractNum w:abstractNumId="9">
    <w:nsid w:val="FFFFFF89"/>
    <w:multiLevelType w:val="singleLevel"/>
    <w:tmpl w:val="69CC52F2"/>
    <w:lvl w:ilvl="0">
      <w:start w:val="1"/>
      <w:numFmt w:val="bullet"/>
      <w:lvlText w:val=""/>
      <w:lvlJc w:val="left"/>
      <w:pPr>
        <w:tabs>
          <w:tab w:val="num" w:pos="360"/>
        </w:tabs>
        <w:ind w:left="360" w:hanging="360"/>
      </w:pPr>
      <w:rPr>
        <w:rFonts w:ascii="Symbol" w:hAnsi="Symbol" w:hint="default"/>
      </w:rPr>
    </w:lvl>
  </w:abstractNum>
  <w:abstractNum w:abstractNumId="1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2">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5525B69"/>
    <w:multiLevelType w:val="hybridMultilevel"/>
    <w:tmpl w:val="11A40E2E"/>
    <w:lvl w:ilvl="0" w:tplc="A206340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5">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0D787D"/>
    <w:multiLevelType w:val="hybridMultilevel"/>
    <w:tmpl w:val="434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3"/>
  </w:num>
  <w:num w:numId="3">
    <w:abstractNumId w:val="27"/>
  </w:num>
  <w:num w:numId="4">
    <w:abstractNumId w:val="35"/>
  </w:num>
  <w:num w:numId="5">
    <w:abstractNumId w:val="16"/>
  </w:num>
  <w:num w:numId="6">
    <w:abstractNumId w:val="21"/>
  </w:num>
  <w:num w:numId="7">
    <w:abstractNumId w:val="17"/>
  </w:num>
  <w:num w:numId="8">
    <w:abstractNumId w:val="29"/>
  </w:num>
  <w:num w:numId="9">
    <w:abstractNumId w:val="20"/>
  </w:num>
  <w:num w:numId="10">
    <w:abstractNumId w:val="19"/>
  </w:num>
  <w:num w:numId="11">
    <w:abstractNumId w:val="34"/>
  </w:num>
  <w:num w:numId="12">
    <w:abstractNumId w:val="11"/>
  </w:num>
  <w:num w:numId="13">
    <w:abstractNumId w:val="24"/>
  </w:num>
  <w:num w:numId="14">
    <w:abstractNumId w:val="39"/>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1"/>
  </w:num>
  <w:num w:numId="27">
    <w:abstractNumId w:val="30"/>
  </w:num>
  <w:num w:numId="28">
    <w:abstractNumId w:val="22"/>
  </w:num>
  <w:num w:numId="29">
    <w:abstractNumId w:val="31"/>
  </w:num>
  <w:num w:numId="30">
    <w:abstractNumId w:val="32"/>
  </w:num>
  <w:num w:numId="31">
    <w:abstractNumId w:val="14"/>
  </w:num>
  <w:num w:numId="32">
    <w:abstractNumId w:val="37"/>
  </w:num>
  <w:num w:numId="33">
    <w:abstractNumId w:val="36"/>
  </w:num>
  <w:num w:numId="34">
    <w:abstractNumId w:val="23"/>
  </w:num>
  <w:num w:numId="35">
    <w:abstractNumId w:val="25"/>
  </w:num>
  <w:num w:numId="36">
    <w:abstractNumId w:val="42"/>
  </w:num>
  <w:num w:numId="37">
    <w:abstractNumId w:val="33"/>
  </w:num>
  <w:num w:numId="38">
    <w:abstractNumId w:val="12"/>
  </w:num>
  <w:num w:numId="39">
    <w:abstractNumId w:val="13"/>
  </w:num>
  <w:num w:numId="40">
    <w:abstractNumId w:val="15"/>
  </w:num>
  <w:num w:numId="41">
    <w:abstractNumId w:val="10"/>
  </w:num>
  <w:num w:numId="42">
    <w:abstractNumId w:val="40"/>
  </w:num>
  <w:num w:numId="43">
    <w:abstractNumId w:val="2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06"/>
    <w:rsid w:val="0002386A"/>
    <w:rsid w:val="0003137A"/>
    <w:rsid w:val="00041171"/>
    <w:rsid w:val="00050F8E"/>
    <w:rsid w:val="000573AD"/>
    <w:rsid w:val="00072F17"/>
    <w:rsid w:val="000806D8"/>
    <w:rsid w:val="00082C80"/>
    <w:rsid w:val="00083847"/>
    <w:rsid w:val="00083C36"/>
    <w:rsid w:val="000A69BF"/>
    <w:rsid w:val="000C225A"/>
    <w:rsid w:val="000C6781"/>
    <w:rsid w:val="000F5E49"/>
    <w:rsid w:val="000F7A87"/>
    <w:rsid w:val="00111BFD"/>
    <w:rsid w:val="0011498B"/>
    <w:rsid w:val="00120147"/>
    <w:rsid w:val="00123140"/>
    <w:rsid w:val="00163BA3"/>
    <w:rsid w:val="00166B31"/>
    <w:rsid w:val="00180771"/>
    <w:rsid w:val="001930A3"/>
    <w:rsid w:val="001A341E"/>
    <w:rsid w:val="001B0EA6"/>
    <w:rsid w:val="001B1CDF"/>
    <w:rsid w:val="001B56F4"/>
    <w:rsid w:val="001C5462"/>
    <w:rsid w:val="001D6302"/>
    <w:rsid w:val="001E7DD0"/>
    <w:rsid w:val="001F1BDA"/>
    <w:rsid w:val="0020095E"/>
    <w:rsid w:val="00201B5F"/>
    <w:rsid w:val="00210D30"/>
    <w:rsid w:val="00234A34"/>
    <w:rsid w:val="0025255D"/>
    <w:rsid w:val="00270480"/>
    <w:rsid w:val="002779AF"/>
    <w:rsid w:val="002823D8"/>
    <w:rsid w:val="0028531A"/>
    <w:rsid w:val="00285446"/>
    <w:rsid w:val="00295593"/>
    <w:rsid w:val="002A0BB4"/>
    <w:rsid w:val="002A386C"/>
    <w:rsid w:val="002C30BC"/>
    <w:rsid w:val="002C7A88"/>
    <w:rsid w:val="002D0D58"/>
    <w:rsid w:val="002D232B"/>
    <w:rsid w:val="002D5E00"/>
    <w:rsid w:val="002D6DAC"/>
    <w:rsid w:val="002E3FAD"/>
    <w:rsid w:val="002E4E16"/>
    <w:rsid w:val="00301E8C"/>
    <w:rsid w:val="00315ED1"/>
    <w:rsid w:val="00320009"/>
    <w:rsid w:val="0032424A"/>
    <w:rsid w:val="003519B0"/>
    <w:rsid w:val="00380AF7"/>
    <w:rsid w:val="00394A05"/>
    <w:rsid w:val="00397770"/>
    <w:rsid w:val="00397880"/>
    <w:rsid w:val="003A7016"/>
    <w:rsid w:val="003E4046"/>
    <w:rsid w:val="003F125B"/>
    <w:rsid w:val="003F7B3F"/>
    <w:rsid w:val="0041078D"/>
    <w:rsid w:val="00416F97"/>
    <w:rsid w:val="0043039B"/>
    <w:rsid w:val="004423FE"/>
    <w:rsid w:val="00445C35"/>
    <w:rsid w:val="004667E7"/>
    <w:rsid w:val="00475797"/>
    <w:rsid w:val="0049253B"/>
    <w:rsid w:val="004A140B"/>
    <w:rsid w:val="004B7BAA"/>
    <w:rsid w:val="004C2DF7"/>
    <w:rsid w:val="004C4E0B"/>
    <w:rsid w:val="004D497E"/>
    <w:rsid w:val="004E4809"/>
    <w:rsid w:val="004E6352"/>
    <w:rsid w:val="004E6460"/>
    <w:rsid w:val="004F6B46"/>
    <w:rsid w:val="00525B80"/>
    <w:rsid w:val="0053098F"/>
    <w:rsid w:val="00532280"/>
    <w:rsid w:val="00535706"/>
    <w:rsid w:val="00535821"/>
    <w:rsid w:val="00546D8E"/>
    <w:rsid w:val="00571AE1"/>
    <w:rsid w:val="00592267"/>
    <w:rsid w:val="005B0AE2"/>
    <w:rsid w:val="005B1F2C"/>
    <w:rsid w:val="005D03D9"/>
    <w:rsid w:val="005D666D"/>
    <w:rsid w:val="00615AB0"/>
    <w:rsid w:val="0061778C"/>
    <w:rsid w:val="00636B90"/>
    <w:rsid w:val="0064738B"/>
    <w:rsid w:val="006508EA"/>
    <w:rsid w:val="00697DB5"/>
    <w:rsid w:val="006A492A"/>
    <w:rsid w:val="006D5576"/>
    <w:rsid w:val="006E766D"/>
    <w:rsid w:val="006F1FCD"/>
    <w:rsid w:val="00703929"/>
    <w:rsid w:val="00705C9F"/>
    <w:rsid w:val="00716951"/>
    <w:rsid w:val="00735D9E"/>
    <w:rsid w:val="00754CF7"/>
    <w:rsid w:val="00756EBB"/>
    <w:rsid w:val="00771A68"/>
    <w:rsid w:val="007C212A"/>
    <w:rsid w:val="007E18DF"/>
    <w:rsid w:val="007E7D21"/>
    <w:rsid w:val="007F482F"/>
    <w:rsid w:val="00807CC5"/>
    <w:rsid w:val="00831751"/>
    <w:rsid w:val="00835B42"/>
    <w:rsid w:val="00847D99"/>
    <w:rsid w:val="0085038E"/>
    <w:rsid w:val="0086271D"/>
    <w:rsid w:val="0086420B"/>
    <w:rsid w:val="00864DBF"/>
    <w:rsid w:val="00865AE2"/>
    <w:rsid w:val="008A7313"/>
    <w:rsid w:val="008A7D91"/>
    <w:rsid w:val="008B7FC7"/>
    <w:rsid w:val="008C043E"/>
    <w:rsid w:val="008E1E4A"/>
    <w:rsid w:val="008F0615"/>
    <w:rsid w:val="008F1FDB"/>
    <w:rsid w:val="0090250F"/>
    <w:rsid w:val="00950605"/>
    <w:rsid w:val="00952233"/>
    <w:rsid w:val="00954D66"/>
    <w:rsid w:val="00975D76"/>
    <w:rsid w:val="00982E51"/>
    <w:rsid w:val="009874B9"/>
    <w:rsid w:val="00993581"/>
    <w:rsid w:val="009A288C"/>
    <w:rsid w:val="009B6697"/>
    <w:rsid w:val="009C4C04"/>
    <w:rsid w:val="009E61F8"/>
    <w:rsid w:val="009F7566"/>
    <w:rsid w:val="00A06BFE"/>
    <w:rsid w:val="00A10F5D"/>
    <w:rsid w:val="00A14AF1"/>
    <w:rsid w:val="00A16891"/>
    <w:rsid w:val="00A332E8"/>
    <w:rsid w:val="00A35AF5"/>
    <w:rsid w:val="00A35DDF"/>
    <w:rsid w:val="00A36CBA"/>
    <w:rsid w:val="00A50291"/>
    <w:rsid w:val="00A604CD"/>
    <w:rsid w:val="00A60FE6"/>
    <w:rsid w:val="00A654BE"/>
    <w:rsid w:val="00A874EF"/>
    <w:rsid w:val="00A95415"/>
    <w:rsid w:val="00AA3C89"/>
    <w:rsid w:val="00AC4CDB"/>
    <w:rsid w:val="00AF638A"/>
    <w:rsid w:val="00B00141"/>
    <w:rsid w:val="00B009AA"/>
    <w:rsid w:val="00B030C8"/>
    <w:rsid w:val="00B056E7"/>
    <w:rsid w:val="00B05B71"/>
    <w:rsid w:val="00B10035"/>
    <w:rsid w:val="00B165E6"/>
    <w:rsid w:val="00B235DB"/>
    <w:rsid w:val="00B548A2"/>
    <w:rsid w:val="00B56934"/>
    <w:rsid w:val="00B72444"/>
    <w:rsid w:val="00B93B62"/>
    <w:rsid w:val="00B953D1"/>
    <w:rsid w:val="00BA30D0"/>
    <w:rsid w:val="00C04BD2"/>
    <w:rsid w:val="00C13EEC"/>
    <w:rsid w:val="00C156A4"/>
    <w:rsid w:val="00C20FAA"/>
    <w:rsid w:val="00C2459D"/>
    <w:rsid w:val="00C42C95"/>
    <w:rsid w:val="00C55E5B"/>
    <w:rsid w:val="00C720A4"/>
    <w:rsid w:val="00C7611C"/>
    <w:rsid w:val="00C94097"/>
    <w:rsid w:val="00CA4269"/>
    <w:rsid w:val="00CA7330"/>
    <w:rsid w:val="00CB64F0"/>
    <w:rsid w:val="00CC2909"/>
    <w:rsid w:val="00D05E6F"/>
    <w:rsid w:val="00D33442"/>
    <w:rsid w:val="00D44BAD"/>
    <w:rsid w:val="00D45B55"/>
    <w:rsid w:val="00D7097B"/>
    <w:rsid w:val="00D91DFA"/>
    <w:rsid w:val="00DB1AB2"/>
    <w:rsid w:val="00DD3A65"/>
    <w:rsid w:val="00DD62C6"/>
    <w:rsid w:val="00DD7E63"/>
    <w:rsid w:val="00E00498"/>
    <w:rsid w:val="00E2617A"/>
    <w:rsid w:val="00E416A3"/>
    <w:rsid w:val="00E538E6"/>
    <w:rsid w:val="00E802A2"/>
    <w:rsid w:val="00E85C0B"/>
    <w:rsid w:val="00ED67AF"/>
    <w:rsid w:val="00EE128C"/>
    <w:rsid w:val="00EF66D9"/>
    <w:rsid w:val="00EF6BA5"/>
    <w:rsid w:val="00EF780D"/>
    <w:rsid w:val="00EF7A98"/>
    <w:rsid w:val="00F0267E"/>
    <w:rsid w:val="00F100CC"/>
    <w:rsid w:val="00F474C9"/>
    <w:rsid w:val="00F61675"/>
    <w:rsid w:val="00F6686B"/>
    <w:rsid w:val="00F67F74"/>
    <w:rsid w:val="00F73DE3"/>
    <w:rsid w:val="00F84DD2"/>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customStyle="1" w:styleId="Default">
    <w:name w:val="Default"/>
    <w:rsid w:val="006F1FC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customStyle="1" w:styleId="Default">
    <w:name w:val="Default"/>
    <w:rsid w:val="006F1FC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o.int/aemp/sites/default/files/ecma_final_report_v04.pdf" TargetMode="External"/><Relationship Id="rId5" Type="http://schemas.openxmlformats.org/officeDocument/2006/relationships/settings" Target="settings.xml"/><Relationship Id="rId10" Type="http://schemas.openxmlformats.org/officeDocument/2006/relationships/hyperlink" Target="http://www.wmo.int/aemp/ecma-20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4206-2698-4074-A73A-23990377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5</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5599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Brigitte Vuitteney-Gelman</dc:creator>
  <cp:lastModifiedBy>Brigitte Vuitteney-Gelman</cp:lastModifiedBy>
  <cp:revision>4</cp:revision>
  <cp:lastPrinted>2016-05-04T07:38:00Z</cp:lastPrinted>
  <dcterms:created xsi:type="dcterms:W3CDTF">2016-05-04T15:15:00Z</dcterms:created>
  <dcterms:modified xsi:type="dcterms:W3CDTF">2016-05-10T06:26:00Z</dcterms:modified>
</cp:coreProperties>
</file>