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2835"/>
        <w:gridCol w:w="1701"/>
      </w:tblGrid>
      <w:tr w:rsidR="005E62E9" w:rsidRPr="002169EF" w:rsidTr="00CB402F">
        <w:tc>
          <w:tcPr>
            <w:tcW w:w="5495" w:type="dxa"/>
          </w:tcPr>
          <w:p w:rsidR="005E62E9" w:rsidRPr="002169EF" w:rsidRDefault="005E62E9" w:rsidP="00CB402F">
            <w:pPr>
              <w:tabs>
                <w:tab w:val="left" w:pos="-722"/>
                <w:tab w:val="left" w:pos="6946"/>
              </w:tabs>
              <w:suppressAutoHyphens/>
              <w:spacing w:after="120" w:line="25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</w:rPr>
              <w:t>World Meteorological Organization</w:t>
            </w:r>
          </w:p>
        </w:tc>
        <w:tc>
          <w:tcPr>
            <w:tcW w:w="4536" w:type="dxa"/>
            <w:gridSpan w:val="2"/>
          </w:tcPr>
          <w:p w:rsidR="005E62E9" w:rsidRPr="002169EF" w:rsidRDefault="004B4533" w:rsidP="00A4399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CAeM-MG/201</w:t>
            </w:r>
            <w:r w:rsidR="009060EC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6</w:t>
            </w:r>
            <w:r w:rsidR="005E62E9" w:rsidRPr="002169E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/Doc. </w:t>
            </w:r>
            <w:r w:rsidR="00A4399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E62E9" w:rsidRPr="002169EF" w:rsidTr="004B4533">
        <w:tc>
          <w:tcPr>
            <w:tcW w:w="5495" w:type="dxa"/>
            <w:vMerge w:val="restart"/>
          </w:tcPr>
          <w:p w:rsidR="004B4533" w:rsidRPr="002169EF" w:rsidRDefault="004B4533" w:rsidP="004B4533">
            <w:pPr>
              <w:tabs>
                <w:tab w:val="left" w:pos="1134"/>
                <w:tab w:val="left" w:pos="1638"/>
                <w:tab w:val="left" w:pos="226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sz w:val="20"/>
                <w:szCs w:val="20"/>
              </w:rPr>
              <w:t>COMMISSION FOR AERONAUTICAL METEOROLOGY</w:t>
            </w:r>
          </w:p>
          <w:p w:rsidR="005E62E9" w:rsidRPr="002169EF" w:rsidRDefault="005E62E9" w:rsidP="004B4533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ascii="Verdana" w:hAnsi="Verdana"/>
                <w:b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6F20BD" w:rsidP="002169E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  <w:r w:rsidR="004B4533" w:rsidRPr="002169EF">
              <w:rPr>
                <w:rFonts w:ascii="Verdana" w:hAnsi="Verdana"/>
                <w:sz w:val="20"/>
                <w:szCs w:val="20"/>
              </w:rPr>
              <w:t>.</w:t>
            </w:r>
            <w:r w:rsidR="002169EF" w:rsidRPr="002169EF">
              <w:rPr>
                <w:rFonts w:ascii="Verdana" w:hAnsi="Verdana"/>
                <w:sz w:val="20"/>
                <w:szCs w:val="20"/>
              </w:rPr>
              <w:t>X</w:t>
            </w:r>
            <w:r w:rsidR="004B4533" w:rsidRPr="002169EF">
              <w:rPr>
                <w:rFonts w:ascii="Verdana" w:hAnsi="Verdana"/>
                <w:sz w:val="20"/>
                <w:szCs w:val="20"/>
              </w:rPr>
              <w:t>.201</w:t>
            </w:r>
            <w:r w:rsidR="002169EF" w:rsidRPr="002169EF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E62E9" w:rsidRPr="002169EF" w:rsidTr="004B4533">
        <w:tc>
          <w:tcPr>
            <w:tcW w:w="5495" w:type="dxa"/>
            <w:vMerge/>
          </w:tcPr>
          <w:p w:rsidR="005E62E9" w:rsidRPr="002169EF" w:rsidRDefault="005E62E9" w:rsidP="00CB402F">
            <w:pPr>
              <w:pStyle w:val="WMOBodyTex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62E9" w:rsidRPr="002169EF" w:rsidTr="004B4533">
        <w:tc>
          <w:tcPr>
            <w:tcW w:w="5495" w:type="dxa"/>
            <w:vMerge w:val="restart"/>
            <w:tcBorders>
              <w:bottom w:val="single" w:sz="4" w:space="0" w:color="auto"/>
            </w:tcBorders>
            <w:vAlign w:val="center"/>
          </w:tcPr>
          <w:p w:rsidR="005E62E9" w:rsidRPr="002169EF" w:rsidRDefault="004B4533" w:rsidP="00CB402F">
            <w:pPr>
              <w:tabs>
                <w:tab w:val="left" w:pos="114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</w:rPr>
              <w:t>MANAGEMENT GROUP</w:t>
            </w:r>
            <w:r w:rsidR="00CF01A8">
              <w:rPr>
                <w:rFonts w:ascii="Verdana" w:hAnsi="Verdana"/>
                <w:b/>
                <w:bCs/>
                <w:sz w:val="20"/>
                <w:szCs w:val="20"/>
              </w:rPr>
              <w:t xml:space="preserve"> 2016</w:t>
            </w:r>
          </w:p>
          <w:p w:rsidR="004B4533" w:rsidRPr="002169EF" w:rsidRDefault="004B4533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5E62E9" w:rsidRPr="002169EF" w:rsidRDefault="002169EF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  <w:r w:rsidRPr="002169EF">
              <w:rPr>
                <w:rFonts w:ascii="Verdana" w:hAnsi="Verdana"/>
                <w:snapToGrid w:val="0"/>
                <w:sz w:val="20"/>
                <w:szCs w:val="20"/>
              </w:rPr>
              <w:t>Hall (Innsbruck), Austria</w:t>
            </w:r>
          </w:p>
          <w:p w:rsidR="004B4533" w:rsidRPr="002169EF" w:rsidRDefault="002169EF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  <w:r w:rsidRPr="002169EF">
              <w:rPr>
                <w:rFonts w:ascii="Verdana" w:hAnsi="Verdana"/>
                <w:snapToGrid w:val="0"/>
                <w:sz w:val="20"/>
                <w:szCs w:val="20"/>
              </w:rPr>
              <w:t>8-10 November 2016</w:t>
            </w: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071F24" w:rsidP="00A43995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  <w:r w:rsidRPr="002169EF">
              <w:rPr>
                <w:rFonts w:ascii="Verdana" w:hAnsi="Verdana"/>
                <w:sz w:val="20"/>
                <w:szCs w:val="20"/>
              </w:rPr>
              <w:t>ITEM</w:t>
            </w:r>
            <w:r w:rsidR="006120E2" w:rsidRPr="002169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3B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E62E9" w:rsidRPr="002169EF" w:rsidTr="004B4533"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5E62E9" w:rsidRPr="002169EF" w:rsidRDefault="005E62E9" w:rsidP="00CB40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E62E9" w:rsidRPr="002169EF" w:rsidRDefault="005E62E9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4533" w:rsidRPr="002169EF" w:rsidRDefault="004B4533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4B4533" w:rsidRPr="002169EF" w:rsidRDefault="004B4533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5E62E9" w:rsidRPr="002169EF" w:rsidRDefault="004B4533" w:rsidP="00CB402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169EF">
              <w:rPr>
                <w:rFonts w:ascii="Verdana" w:hAnsi="Verdana"/>
                <w:sz w:val="20"/>
                <w:szCs w:val="20"/>
              </w:rPr>
              <w:t xml:space="preserve">English only </w:t>
            </w:r>
          </w:p>
        </w:tc>
      </w:tr>
    </w:tbl>
    <w:p w:rsidR="00613C50" w:rsidRPr="002169EF" w:rsidRDefault="00613C50">
      <w:pPr>
        <w:rPr>
          <w:rFonts w:ascii="Verdana" w:hAnsi="Verdana"/>
          <w:sz w:val="20"/>
          <w:szCs w:val="20"/>
        </w:rPr>
      </w:pPr>
    </w:p>
    <w:p w:rsidR="00613C50" w:rsidRPr="002169EF" w:rsidRDefault="00613C50">
      <w:pPr>
        <w:rPr>
          <w:rFonts w:ascii="Verdana" w:hAnsi="Verdana"/>
          <w:sz w:val="20"/>
          <w:szCs w:val="20"/>
        </w:rPr>
      </w:pPr>
    </w:p>
    <w:p w:rsidR="00826DAF" w:rsidRPr="002169EF" w:rsidRDefault="00826DAF">
      <w:pPr>
        <w:rPr>
          <w:rFonts w:ascii="Verdana" w:hAnsi="Verdana"/>
          <w:sz w:val="20"/>
          <w:szCs w:val="20"/>
        </w:rPr>
      </w:pPr>
    </w:p>
    <w:p w:rsidR="00826DAF" w:rsidRPr="002169EF" w:rsidRDefault="00826DAF">
      <w:pPr>
        <w:rPr>
          <w:rFonts w:ascii="Verdana" w:hAnsi="Verdana"/>
          <w:sz w:val="20"/>
          <w:szCs w:val="20"/>
        </w:rPr>
      </w:pPr>
    </w:p>
    <w:p w:rsidR="00613C50" w:rsidRPr="002169EF" w:rsidRDefault="00A43995" w:rsidP="00BF6F78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REVIEW OF ACTION LIST</w:t>
      </w:r>
    </w:p>
    <w:p w:rsidR="00BF6F78" w:rsidRPr="002169EF" w:rsidRDefault="00BF6F78" w:rsidP="00BF6F78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826DAF" w:rsidP="00826DAF">
      <w:pPr>
        <w:jc w:val="center"/>
        <w:rPr>
          <w:rFonts w:ascii="Verdana" w:hAnsi="Verdana"/>
          <w:sz w:val="20"/>
          <w:szCs w:val="20"/>
        </w:rPr>
      </w:pPr>
    </w:p>
    <w:p w:rsidR="00BF6F78" w:rsidRPr="002169EF" w:rsidRDefault="00BF6F78" w:rsidP="00826DAF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826DAF" w:rsidP="00FF3BB9">
      <w:pPr>
        <w:jc w:val="center"/>
        <w:rPr>
          <w:rFonts w:ascii="Verdana" w:hAnsi="Verdana"/>
          <w:i/>
          <w:sz w:val="20"/>
          <w:szCs w:val="20"/>
        </w:rPr>
      </w:pPr>
      <w:r w:rsidRPr="002169EF">
        <w:rPr>
          <w:rFonts w:ascii="Verdana" w:hAnsi="Verdana"/>
          <w:i/>
          <w:sz w:val="20"/>
          <w:szCs w:val="20"/>
        </w:rPr>
        <w:t xml:space="preserve">(Submitted by </w:t>
      </w:r>
      <w:r w:rsidR="003368DC">
        <w:rPr>
          <w:rFonts w:ascii="Verdana" w:hAnsi="Verdana"/>
          <w:i/>
          <w:sz w:val="20"/>
          <w:szCs w:val="20"/>
        </w:rPr>
        <w:t xml:space="preserve">the </w:t>
      </w:r>
      <w:r w:rsidR="00FF3BB9">
        <w:rPr>
          <w:rFonts w:ascii="Verdana" w:hAnsi="Verdana"/>
          <w:i/>
          <w:sz w:val="20"/>
          <w:szCs w:val="20"/>
        </w:rPr>
        <w:t>WMO Secretariat</w:t>
      </w:r>
      <w:r w:rsidR="00BF6F78" w:rsidRPr="002169EF">
        <w:rPr>
          <w:rFonts w:ascii="Verdana" w:hAnsi="Verdana"/>
          <w:i/>
          <w:sz w:val="20"/>
          <w:szCs w:val="20"/>
        </w:rPr>
        <w:t>)</w:t>
      </w:r>
    </w:p>
    <w:p w:rsidR="00826DAF" w:rsidRPr="002169EF" w:rsidRDefault="00826DAF" w:rsidP="00826DAF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826DAF" w:rsidP="00826DAF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826DAF" w:rsidP="00826DAF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3"/>
      </w:tblGrid>
      <w:tr w:rsidR="00826DAF" w:rsidRPr="002169EF">
        <w:trPr>
          <w:jc w:val="center"/>
        </w:trPr>
        <w:tc>
          <w:tcPr>
            <w:tcW w:w="7203" w:type="dxa"/>
          </w:tcPr>
          <w:p w:rsidR="00826DAF" w:rsidRPr="002169EF" w:rsidRDefault="00826DAF" w:rsidP="00FE3D78">
            <w:pPr>
              <w:suppressAutoHyphens/>
              <w:spacing w:before="9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26DAF" w:rsidRPr="002169EF" w:rsidRDefault="00826DAF" w:rsidP="00FE3D78">
            <w:pPr>
              <w:suppressAutoHyphens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69EF">
              <w:rPr>
                <w:rFonts w:ascii="Verdana" w:hAnsi="Verdana" w:cs="Arial"/>
                <w:b/>
                <w:sz w:val="20"/>
                <w:szCs w:val="20"/>
              </w:rPr>
              <w:t>Summary and Purpose of Document</w:t>
            </w:r>
          </w:p>
          <w:p w:rsidR="00826DAF" w:rsidRPr="002169EF" w:rsidRDefault="00826DAF" w:rsidP="00FE3D78">
            <w:pPr>
              <w:suppressAutoHyphens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6DAF" w:rsidRPr="002169EF" w:rsidRDefault="00826DAF" w:rsidP="00F90D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69EF">
              <w:rPr>
                <w:rFonts w:ascii="Verdana" w:hAnsi="Verdana" w:cs="Arial"/>
                <w:sz w:val="20"/>
                <w:szCs w:val="20"/>
              </w:rPr>
              <w:t xml:space="preserve">This document provides 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the status of follow-up </w:t>
            </w:r>
            <w:r w:rsidR="00E21AC6">
              <w:rPr>
                <w:rFonts w:ascii="Verdana" w:hAnsi="Verdana" w:cs="Arial"/>
                <w:sz w:val="20"/>
                <w:szCs w:val="20"/>
              </w:rPr>
              <w:t>of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 actions agreed </w:t>
            </w:r>
            <w:r w:rsidR="00954D3A">
              <w:rPr>
                <w:rFonts w:ascii="Verdana" w:hAnsi="Verdana" w:cs="Arial"/>
                <w:sz w:val="20"/>
                <w:szCs w:val="20"/>
              </w:rPr>
              <w:t>at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 the </w:t>
            </w:r>
            <w:r w:rsidR="00E21AC6">
              <w:rPr>
                <w:rFonts w:ascii="Verdana" w:hAnsi="Verdana" w:cs="Arial"/>
                <w:sz w:val="20"/>
                <w:szCs w:val="20"/>
              </w:rPr>
              <w:t xml:space="preserve">last 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CAeM Management Group </w:t>
            </w:r>
            <w:r w:rsidR="00954D3A">
              <w:rPr>
                <w:rFonts w:ascii="Verdana" w:hAnsi="Verdana" w:cs="Arial"/>
                <w:sz w:val="20"/>
                <w:szCs w:val="20"/>
              </w:rPr>
              <w:t xml:space="preserve">(MG) 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meeting </w:t>
            </w:r>
            <w:r w:rsidR="00954D3A">
              <w:rPr>
                <w:rFonts w:ascii="Verdana" w:hAnsi="Verdana" w:cs="Arial"/>
                <w:sz w:val="20"/>
                <w:szCs w:val="20"/>
              </w:rPr>
              <w:t>held from 12 to 14 May 2015</w:t>
            </w:r>
            <w:r w:rsidR="00E21AC6">
              <w:rPr>
                <w:rFonts w:ascii="Verdana" w:hAnsi="Verdana" w:cs="Arial"/>
                <w:sz w:val="20"/>
                <w:szCs w:val="20"/>
              </w:rPr>
              <w:t xml:space="preserve">, based on an Action List, 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as well as information concerning </w:t>
            </w:r>
            <w:r w:rsidR="00F90D74">
              <w:rPr>
                <w:rFonts w:ascii="Verdana" w:hAnsi="Verdana" w:cs="Arial"/>
                <w:sz w:val="20"/>
                <w:szCs w:val="20"/>
              </w:rPr>
              <w:t>MG teleconferences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54D3A">
              <w:rPr>
                <w:rFonts w:ascii="Verdana" w:hAnsi="Verdana" w:cs="Arial"/>
                <w:sz w:val="20"/>
                <w:szCs w:val="20"/>
              </w:rPr>
              <w:t xml:space="preserve">held </w:t>
            </w:r>
            <w:r w:rsidR="00894B77">
              <w:rPr>
                <w:rFonts w:ascii="Verdana" w:hAnsi="Verdana" w:cs="Arial"/>
                <w:sz w:val="20"/>
                <w:szCs w:val="20"/>
              </w:rPr>
              <w:t xml:space="preserve">since </w:t>
            </w:r>
            <w:r w:rsidR="00954D3A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="00E21AC6">
              <w:rPr>
                <w:rFonts w:ascii="Verdana" w:hAnsi="Verdana" w:cs="Arial"/>
                <w:sz w:val="20"/>
                <w:szCs w:val="20"/>
              </w:rPr>
              <w:t xml:space="preserve">last </w:t>
            </w:r>
            <w:r w:rsidR="00954D3A">
              <w:rPr>
                <w:rFonts w:ascii="Verdana" w:hAnsi="Verdana" w:cs="Arial"/>
                <w:sz w:val="20"/>
                <w:szCs w:val="20"/>
              </w:rPr>
              <w:t>meeting</w:t>
            </w:r>
            <w:r w:rsidR="00894B77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26DAF" w:rsidRPr="002169EF" w:rsidRDefault="00826DAF" w:rsidP="00FE3D78">
            <w:pPr>
              <w:rPr>
                <w:rFonts w:ascii="Verdana" w:hAnsi="Verdana" w:cs="Arial"/>
                <w:spacing w:val="-2"/>
                <w:sz w:val="20"/>
                <w:szCs w:val="20"/>
              </w:rPr>
            </w:pPr>
          </w:p>
        </w:tc>
      </w:tr>
    </w:tbl>
    <w:p w:rsidR="00826DAF" w:rsidRPr="002169EF" w:rsidRDefault="00826DAF" w:rsidP="00826DAF">
      <w:pPr>
        <w:suppressAutoHyphens/>
        <w:jc w:val="center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69EF">
        <w:rPr>
          <w:rFonts w:ascii="Verdana" w:hAnsi="Verdana" w:cs="Arial"/>
          <w:b/>
          <w:bCs/>
          <w:sz w:val="20"/>
          <w:szCs w:val="20"/>
        </w:rPr>
        <w:t>ACTION PROPOSED</w:t>
      </w:r>
    </w:p>
    <w:p w:rsidR="00826DAF" w:rsidRPr="002169EF" w:rsidRDefault="00826DAF" w:rsidP="00826DAF">
      <w:pPr>
        <w:jc w:val="center"/>
        <w:rPr>
          <w:rFonts w:ascii="Verdana" w:hAnsi="Verdana" w:cs="Arial"/>
          <w:sz w:val="20"/>
          <w:szCs w:val="20"/>
        </w:rPr>
      </w:pPr>
    </w:p>
    <w:p w:rsidR="00A03A9D" w:rsidRPr="002169EF" w:rsidRDefault="00A03A9D" w:rsidP="00E21AC6">
      <w:pPr>
        <w:pStyle w:val="BodyText"/>
        <w:ind w:firstLine="720"/>
        <w:rPr>
          <w:rFonts w:ascii="Verdana" w:hAnsi="Verdana"/>
          <w:sz w:val="20"/>
          <w:szCs w:val="20"/>
        </w:rPr>
      </w:pPr>
      <w:r w:rsidRPr="002169EF">
        <w:rPr>
          <w:rFonts w:ascii="Verdana" w:hAnsi="Verdana"/>
          <w:sz w:val="20"/>
          <w:szCs w:val="20"/>
        </w:rPr>
        <w:t xml:space="preserve">The Management Group (MG) is invited to </w:t>
      </w:r>
      <w:r w:rsidR="00894B77">
        <w:rPr>
          <w:rFonts w:ascii="Verdana" w:hAnsi="Verdana"/>
          <w:sz w:val="20"/>
          <w:szCs w:val="20"/>
        </w:rPr>
        <w:t xml:space="preserve">review and update the </w:t>
      </w:r>
      <w:r w:rsidR="00E21AC6">
        <w:rPr>
          <w:rFonts w:ascii="Verdana" w:hAnsi="Verdana"/>
          <w:sz w:val="20"/>
          <w:szCs w:val="20"/>
        </w:rPr>
        <w:t>Action List</w:t>
      </w:r>
      <w:r w:rsidR="00894B77">
        <w:rPr>
          <w:rFonts w:ascii="Verdana" w:hAnsi="Verdana"/>
          <w:sz w:val="20"/>
          <w:szCs w:val="20"/>
        </w:rPr>
        <w:t>.</w:t>
      </w:r>
    </w:p>
    <w:p w:rsidR="00826DAF" w:rsidRPr="002169EF" w:rsidRDefault="00826DAF" w:rsidP="00A03A9D">
      <w:pPr>
        <w:pStyle w:val="BlockText"/>
        <w:ind w:hanging="1985"/>
        <w:rPr>
          <w:rFonts w:ascii="Verdana" w:hAnsi="Verdana"/>
          <w:sz w:val="20"/>
          <w:szCs w:val="20"/>
        </w:rPr>
      </w:pPr>
    </w:p>
    <w:p w:rsidR="00826DAF" w:rsidRPr="002169EF" w:rsidRDefault="00826DAF" w:rsidP="00826DAF">
      <w:pPr>
        <w:jc w:val="center"/>
        <w:rPr>
          <w:rFonts w:ascii="Verdana" w:hAnsi="Verdana" w:cs="Arial"/>
          <w:sz w:val="20"/>
          <w:szCs w:val="20"/>
        </w:rPr>
      </w:pPr>
      <w:r w:rsidRPr="002169EF">
        <w:rPr>
          <w:rFonts w:ascii="Verdana" w:hAnsi="Verdana" w:cs="Arial"/>
          <w:sz w:val="20"/>
          <w:szCs w:val="20"/>
        </w:rPr>
        <w:t>_______________</w:t>
      </w:r>
    </w:p>
    <w:p w:rsidR="00826DAF" w:rsidRPr="002169EF" w:rsidRDefault="00826DAF" w:rsidP="00826DAF">
      <w:pPr>
        <w:jc w:val="center"/>
        <w:rPr>
          <w:rFonts w:ascii="Verdana" w:hAnsi="Verdana" w:cs="Arial"/>
          <w:sz w:val="20"/>
          <w:szCs w:val="20"/>
        </w:rPr>
      </w:pPr>
    </w:p>
    <w:p w:rsidR="00D41D53" w:rsidRPr="002169EF" w:rsidRDefault="00D41D53" w:rsidP="00826DAF">
      <w:pPr>
        <w:jc w:val="center"/>
        <w:rPr>
          <w:rFonts w:ascii="Verdana" w:hAnsi="Verdana" w:cs="Arial"/>
          <w:sz w:val="20"/>
          <w:szCs w:val="20"/>
        </w:rPr>
      </w:pPr>
    </w:p>
    <w:p w:rsidR="00D41D53" w:rsidRPr="002169EF" w:rsidRDefault="00D41D53" w:rsidP="00826DAF">
      <w:pPr>
        <w:jc w:val="center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A03A9D">
      <w:pPr>
        <w:rPr>
          <w:rFonts w:ascii="Verdana" w:hAnsi="Verdana"/>
          <w:sz w:val="20"/>
          <w:szCs w:val="20"/>
        </w:rPr>
      </w:pPr>
    </w:p>
    <w:p w:rsidR="00E811C6" w:rsidRPr="002169EF" w:rsidRDefault="00E811C6" w:rsidP="00A03A9D">
      <w:pPr>
        <w:rPr>
          <w:rFonts w:ascii="Verdana" w:hAnsi="Verdana"/>
          <w:b/>
          <w:sz w:val="20"/>
          <w:szCs w:val="20"/>
        </w:rPr>
        <w:sectPr w:rsidR="00E811C6" w:rsidRPr="002169EF" w:rsidSect="00B02E5F">
          <w:headerReference w:type="default" r:id="rId9"/>
          <w:pgSz w:w="11907" w:h="16840" w:code="9"/>
          <w:pgMar w:top="851" w:right="1134" w:bottom="680" w:left="1134" w:header="454" w:footer="720" w:gutter="0"/>
          <w:cols w:space="720"/>
          <w:titlePg/>
          <w:docGrid w:linePitch="360"/>
        </w:sectPr>
      </w:pPr>
    </w:p>
    <w:p w:rsidR="00A03A9D" w:rsidRPr="00C609FA" w:rsidRDefault="009B0A95" w:rsidP="00391970">
      <w:pPr>
        <w:pStyle w:val="ListParagraph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ab/>
      </w:r>
      <w:r w:rsidR="00581E2E" w:rsidRPr="00C609FA">
        <w:rPr>
          <w:rFonts w:ascii="Verdana" w:hAnsi="Verdana"/>
          <w:b/>
          <w:sz w:val="20"/>
          <w:szCs w:val="20"/>
        </w:rPr>
        <w:t>EXECUTIVE SUMMARY</w:t>
      </w:r>
    </w:p>
    <w:p w:rsidR="00581E2E" w:rsidRPr="002169EF" w:rsidRDefault="00581E2E" w:rsidP="00391970">
      <w:pPr>
        <w:jc w:val="both"/>
        <w:rPr>
          <w:rFonts w:ascii="Verdana" w:hAnsi="Verdana"/>
          <w:b/>
          <w:sz w:val="20"/>
          <w:szCs w:val="20"/>
        </w:rPr>
      </w:pPr>
    </w:p>
    <w:p w:rsidR="007967D3" w:rsidRPr="00C609FA" w:rsidRDefault="007967D3" w:rsidP="00391970">
      <w:pPr>
        <w:pStyle w:val="ListParagraph"/>
        <w:ind w:left="0"/>
        <w:jc w:val="both"/>
        <w:rPr>
          <w:rFonts w:ascii="Verdana" w:hAnsi="Verdana"/>
          <w:b/>
          <w:i/>
          <w:iCs/>
          <w:sz w:val="20"/>
          <w:szCs w:val="20"/>
        </w:rPr>
      </w:pPr>
      <w:r w:rsidRPr="00C609FA">
        <w:rPr>
          <w:rFonts w:ascii="Verdana" w:hAnsi="Verdana"/>
          <w:b/>
          <w:i/>
          <w:iCs/>
          <w:sz w:val="20"/>
          <w:szCs w:val="20"/>
        </w:rPr>
        <w:t xml:space="preserve">Actions arising from </w:t>
      </w:r>
      <w:proofErr w:type="spellStart"/>
      <w:r w:rsidRPr="00C609FA">
        <w:rPr>
          <w:rFonts w:ascii="Verdana" w:hAnsi="Verdana"/>
          <w:b/>
          <w:i/>
          <w:iCs/>
          <w:sz w:val="20"/>
          <w:szCs w:val="20"/>
        </w:rPr>
        <w:t>CAeM</w:t>
      </w:r>
      <w:proofErr w:type="spellEnd"/>
      <w:r w:rsidRPr="00C609FA">
        <w:rPr>
          <w:rFonts w:ascii="Verdana" w:hAnsi="Verdana"/>
          <w:b/>
          <w:i/>
          <w:iCs/>
          <w:sz w:val="20"/>
          <w:szCs w:val="20"/>
        </w:rPr>
        <w:t>-MG meeting in May 2015</w:t>
      </w:r>
    </w:p>
    <w:p w:rsidR="007967D3" w:rsidRDefault="007967D3" w:rsidP="00391970">
      <w:pPr>
        <w:jc w:val="both"/>
        <w:rPr>
          <w:rFonts w:ascii="Verdana" w:hAnsi="Verdana"/>
          <w:bCs/>
          <w:sz w:val="20"/>
          <w:szCs w:val="20"/>
        </w:rPr>
      </w:pPr>
    </w:p>
    <w:p w:rsidR="00581E2E" w:rsidRPr="00C609FA" w:rsidRDefault="00954D3A" w:rsidP="004330E2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C609FA">
        <w:rPr>
          <w:rFonts w:ascii="Verdana" w:hAnsi="Verdana"/>
          <w:bCs/>
          <w:sz w:val="20"/>
          <w:szCs w:val="20"/>
        </w:rPr>
        <w:t xml:space="preserve">The </w:t>
      </w:r>
      <w:r w:rsidR="004330E2">
        <w:rPr>
          <w:rFonts w:ascii="Verdana" w:hAnsi="Verdana"/>
          <w:bCs/>
          <w:sz w:val="20"/>
          <w:szCs w:val="20"/>
        </w:rPr>
        <w:t>MG</w:t>
      </w:r>
      <w:r w:rsidRPr="00C609FA">
        <w:rPr>
          <w:rFonts w:ascii="Verdana" w:hAnsi="Verdana"/>
          <w:bCs/>
          <w:sz w:val="20"/>
          <w:szCs w:val="20"/>
        </w:rPr>
        <w:t xml:space="preserve"> recalled that the last full meeting of the CAeM-MG was held from 12 to 14 May 2015 in Cape Town, South Africa</w:t>
      </w:r>
      <w:r w:rsidR="007967D3" w:rsidRPr="00C609FA">
        <w:rPr>
          <w:rFonts w:ascii="Verdana" w:hAnsi="Verdana"/>
          <w:bCs/>
          <w:sz w:val="20"/>
          <w:szCs w:val="20"/>
        </w:rPr>
        <w:t xml:space="preserve">, and that the </w:t>
      </w:r>
      <w:r w:rsidR="004330E2">
        <w:rPr>
          <w:rFonts w:ascii="Verdana" w:hAnsi="Verdana"/>
          <w:bCs/>
          <w:sz w:val="20"/>
          <w:szCs w:val="20"/>
        </w:rPr>
        <w:t>MG</w:t>
      </w:r>
      <w:r w:rsidR="007967D3" w:rsidRPr="00C609FA">
        <w:rPr>
          <w:rFonts w:ascii="Verdana" w:hAnsi="Verdana"/>
          <w:bCs/>
          <w:sz w:val="20"/>
          <w:szCs w:val="20"/>
        </w:rPr>
        <w:t xml:space="preserve"> had formulated an action list</w:t>
      </w:r>
      <w:r w:rsidR="00FE72A9">
        <w:rPr>
          <w:rFonts w:ascii="Verdana" w:hAnsi="Verdana"/>
          <w:bCs/>
          <w:sz w:val="20"/>
          <w:szCs w:val="20"/>
        </w:rPr>
        <w:t xml:space="preserve"> comprising 10 actions</w:t>
      </w:r>
      <w:r w:rsidR="007967D3" w:rsidRPr="00C609FA">
        <w:rPr>
          <w:rFonts w:ascii="Verdana" w:hAnsi="Verdana"/>
          <w:bCs/>
          <w:sz w:val="20"/>
          <w:szCs w:val="20"/>
        </w:rPr>
        <w:t>.</w:t>
      </w:r>
    </w:p>
    <w:p w:rsidR="00954D3A" w:rsidRDefault="00954D3A" w:rsidP="00391970">
      <w:pPr>
        <w:jc w:val="both"/>
        <w:rPr>
          <w:rFonts w:ascii="Verdana" w:hAnsi="Verdana"/>
          <w:bCs/>
          <w:sz w:val="20"/>
          <w:szCs w:val="20"/>
        </w:rPr>
      </w:pPr>
    </w:p>
    <w:p w:rsidR="00954D3A" w:rsidRPr="006B4A20" w:rsidRDefault="00954D3A" w:rsidP="0069678F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6B4A20">
        <w:rPr>
          <w:rFonts w:ascii="Verdana" w:hAnsi="Verdana"/>
          <w:bCs/>
          <w:sz w:val="20"/>
          <w:szCs w:val="20"/>
        </w:rPr>
        <w:t xml:space="preserve">The MG reviewed the action list and updated the status of actions as shown in Annex </w:t>
      </w:r>
      <w:r w:rsidR="0069678F">
        <w:rPr>
          <w:rFonts w:ascii="Verdana" w:hAnsi="Verdana"/>
          <w:bCs/>
          <w:sz w:val="20"/>
          <w:szCs w:val="20"/>
        </w:rPr>
        <w:t>1</w:t>
      </w:r>
      <w:r w:rsidRPr="006B4A20">
        <w:rPr>
          <w:rFonts w:ascii="Verdana" w:hAnsi="Verdana"/>
          <w:bCs/>
          <w:sz w:val="20"/>
          <w:szCs w:val="20"/>
        </w:rPr>
        <w:t>.  The MG noted</w:t>
      </w:r>
      <w:r w:rsidR="00FD600C" w:rsidRPr="006B4A20">
        <w:rPr>
          <w:rFonts w:ascii="Verdana" w:hAnsi="Verdana"/>
          <w:bCs/>
          <w:sz w:val="20"/>
          <w:szCs w:val="20"/>
        </w:rPr>
        <w:t>,</w:t>
      </w:r>
      <w:r w:rsidRPr="006B4A20">
        <w:rPr>
          <w:rFonts w:ascii="Verdana" w:hAnsi="Verdana"/>
          <w:bCs/>
          <w:sz w:val="20"/>
          <w:szCs w:val="20"/>
        </w:rPr>
        <w:t xml:space="preserve"> in particular</w:t>
      </w:r>
      <w:r w:rsidR="00FD600C" w:rsidRPr="006B4A20">
        <w:rPr>
          <w:rFonts w:ascii="Verdana" w:hAnsi="Verdana"/>
          <w:bCs/>
          <w:sz w:val="20"/>
          <w:szCs w:val="20"/>
        </w:rPr>
        <w:t>, that</w:t>
      </w:r>
      <w:r w:rsidRPr="006B4A20">
        <w:rPr>
          <w:rFonts w:ascii="Verdana" w:hAnsi="Verdana"/>
          <w:bCs/>
          <w:sz w:val="20"/>
          <w:szCs w:val="20"/>
        </w:rPr>
        <w:t xml:space="preserve"> &lt;text</w:t>
      </w:r>
      <w:r w:rsidR="003E470C" w:rsidRPr="006B4A20">
        <w:rPr>
          <w:rFonts w:ascii="Verdana" w:hAnsi="Verdana"/>
          <w:bCs/>
          <w:sz w:val="20"/>
          <w:szCs w:val="20"/>
        </w:rPr>
        <w:t xml:space="preserve"> based on c</w:t>
      </w:r>
      <w:r w:rsidR="00FD600C" w:rsidRPr="006B4A20">
        <w:rPr>
          <w:rFonts w:ascii="Verdana" w:hAnsi="Verdana"/>
          <w:bCs/>
          <w:sz w:val="20"/>
          <w:szCs w:val="20"/>
        </w:rPr>
        <w:t xml:space="preserve">omments on the </w:t>
      </w:r>
      <w:r w:rsidR="006B4A20">
        <w:rPr>
          <w:rFonts w:ascii="Verdana" w:hAnsi="Verdana"/>
          <w:bCs/>
          <w:sz w:val="20"/>
          <w:szCs w:val="20"/>
        </w:rPr>
        <w:t xml:space="preserve">status of </w:t>
      </w:r>
      <w:r w:rsidR="00FD600C" w:rsidRPr="006B4A20">
        <w:rPr>
          <w:rFonts w:ascii="Verdana" w:hAnsi="Verdana"/>
          <w:bCs/>
          <w:sz w:val="20"/>
          <w:szCs w:val="20"/>
        </w:rPr>
        <w:t>action</w:t>
      </w:r>
      <w:r w:rsidR="006B4A20">
        <w:rPr>
          <w:rFonts w:ascii="Verdana" w:hAnsi="Verdana"/>
          <w:bCs/>
          <w:sz w:val="20"/>
          <w:szCs w:val="20"/>
        </w:rPr>
        <w:t xml:space="preserve">s and identification of </w:t>
      </w:r>
      <w:r w:rsidR="00FD600C" w:rsidRPr="006B4A20">
        <w:rPr>
          <w:rFonts w:ascii="Verdana" w:hAnsi="Verdana"/>
          <w:bCs/>
          <w:sz w:val="20"/>
          <w:szCs w:val="20"/>
        </w:rPr>
        <w:t xml:space="preserve">actions that need to </w:t>
      </w:r>
      <w:r w:rsidR="006B4A20">
        <w:rPr>
          <w:rFonts w:ascii="Verdana" w:hAnsi="Verdana"/>
          <w:bCs/>
          <w:sz w:val="20"/>
          <w:szCs w:val="20"/>
        </w:rPr>
        <w:t>carry</w:t>
      </w:r>
      <w:r w:rsidR="00FD600C" w:rsidRPr="006B4A20">
        <w:rPr>
          <w:rFonts w:ascii="Verdana" w:hAnsi="Verdana"/>
          <w:bCs/>
          <w:sz w:val="20"/>
          <w:szCs w:val="20"/>
        </w:rPr>
        <w:t xml:space="preserve"> </w:t>
      </w:r>
      <w:r w:rsidR="006B4A20">
        <w:rPr>
          <w:rFonts w:ascii="Verdana" w:hAnsi="Verdana"/>
          <w:bCs/>
          <w:sz w:val="20"/>
          <w:szCs w:val="20"/>
        </w:rPr>
        <w:t>forwards</w:t>
      </w:r>
      <w:r w:rsidRPr="006B4A20">
        <w:rPr>
          <w:rFonts w:ascii="Verdana" w:hAnsi="Verdana"/>
          <w:bCs/>
          <w:sz w:val="20"/>
          <w:szCs w:val="20"/>
        </w:rPr>
        <w:t xml:space="preserve">&gt;. </w:t>
      </w:r>
    </w:p>
    <w:p w:rsidR="007967D3" w:rsidRPr="006B4A20" w:rsidRDefault="007967D3" w:rsidP="00391970">
      <w:pPr>
        <w:jc w:val="both"/>
        <w:rPr>
          <w:rFonts w:ascii="Verdana" w:hAnsi="Verdana"/>
          <w:bCs/>
          <w:sz w:val="20"/>
          <w:szCs w:val="20"/>
        </w:rPr>
      </w:pPr>
    </w:p>
    <w:p w:rsidR="007967D3" w:rsidRPr="006B4A20" w:rsidRDefault="007967D3" w:rsidP="00F90D74">
      <w:pPr>
        <w:pStyle w:val="ListParagraph"/>
        <w:ind w:left="0"/>
        <w:jc w:val="both"/>
        <w:rPr>
          <w:rFonts w:ascii="Verdana" w:hAnsi="Verdana"/>
          <w:b/>
          <w:i/>
          <w:iCs/>
          <w:sz w:val="20"/>
          <w:szCs w:val="20"/>
        </w:rPr>
      </w:pPr>
      <w:r w:rsidRPr="006B4A20">
        <w:rPr>
          <w:rFonts w:ascii="Verdana" w:hAnsi="Verdana"/>
          <w:b/>
          <w:i/>
          <w:iCs/>
          <w:sz w:val="20"/>
          <w:szCs w:val="20"/>
        </w:rPr>
        <w:t>Actions arising from CAeM-MG teleconferences</w:t>
      </w:r>
    </w:p>
    <w:p w:rsidR="007967D3" w:rsidRPr="006B4A20" w:rsidRDefault="007967D3" w:rsidP="00391970">
      <w:pPr>
        <w:jc w:val="both"/>
        <w:rPr>
          <w:rFonts w:ascii="Verdana" w:hAnsi="Verdana"/>
          <w:bCs/>
          <w:sz w:val="20"/>
          <w:szCs w:val="20"/>
        </w:rPr>
      </w:pPr>
    </w:p>
    <w:p w:rsidR="007967D3" w:rsidRPr="006B4A20" w:rsidRDefault="00F90D74" w:rsidP="003E470C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6B4A20">
        <w:rPr>
          <w:rFonts w:ascii="Verdana" w:hAnsi="Verdana"/>
          <w:bCs/>
          <w:sz w:val="20"/>
          <w:szCs w:val="20"/>
        </w:rPr>
        <w:t>The MG recalled that it had conducted t</w:t>
      </w:r>
      <w:r w:rsidR="007967D3" w:rsidRPr="006B4A20">
        <w:rPr>
          <w:rFonts w:ascii="Verdana" w:hAnsi="Verdana"/>
          <w:bCs/>
          <w:sz w:val="20"/>
          <w:szCs w:val="20"/>
        </w:rPr>
        <w:t xml:space="preserve">eleconferences on </w:t>
      </w:r>
      <w:r w:rsidRPr="006B4A20">
        <w:rPr>
          <w:rFonts w:ascii="Verdana" w:hAnsi="Verdana"/>
          <w:bCs/>
          <w:sz w:val="20"/>
          <w:szCs w:val="20"/>
        </w:rPr>
        <w:t xml:space="preserve">18 December 2015, </w:t>
      </w:r>
      <w:r w:rsidR="009B0A95">
        <w:rPr>
          <w:rFonts w:ascii="Verdana" w:hAnsi="Verdana"/>
          <w:bCs/>
          <w:sz w:val="20"/>
          <w:szCs w:val="20"/>
        </w:rPr>
        <w:br/>
      </w:r>
      <w:r w:rsidRPr="006B4A20">
        <w:rPr>
          <w:rFonts w:ascii="Verdana" w:hAnsi="Verdana"/>
          <w:bCs/>
          <w:sz w:val="20"/>
          <w:szCs w:val="20"/>
        </w:rPr>
        <w:t xml:space="preserve">2 February 2016 and 14 April 2016 principally </w:t>
      </w:r>
      <w:r w:rsidR="003F5CD8" w:rsidRPr="006B4A20">
        <w:rPr>
          <w:rFonts w:ascii="Verdana" w:hAnsi="Verdana"/>
          <w:bCs/>
          <w:sz w:val="20"/>
          <w:szCs w:val="20"/>
        </w:rPr>
        <w:t xml:space="preserve">to </w:t>
      </w:r>
      <w:r w:rsidRPr="006B4A20">
        <w:rPr>
          <w:rFonts w:ascii="Verdana" w:hAnsi="Verdana"/>
          <w:bCs/>
          <w:sz w:val="20"/>
          <w:szCs w:val="20"/>
        </w:rPr>
        <w:t xml:space="preserve">review the status of follow-up of actions </w:t>
      </w:r>
      <w:r w:rsidR="003F5CD8" w:rsidRPr="006B4A20">
        <w:rPr>
          <w:rFonts w:ascii="Verdana" w:hAnsi="Verdana"/>
          <w:bCs/>
          <w:sz w:val="20"/>
          <w:szCs w:val="20"/>
        </w:rPr>
        <w:t xml:space="preserve">arising </w:t>
      </w:r>
      <w:r w:rsidRPr="006B4A20">
        <w:rPr>
          <w:rFonts w:ascii="Verdana" w:hAnsi="Verdana"/>
          <w:bCs/>
          <w:sz w:val="20"/>
          <w:szCs w:val="20"/>
        </w:rPr>
        <w:t xml:space="preserve">from the previous teleconference(s), </w:t>
      </w:r>
      <w:r w:rsidR="003F5CD8" w:rsidRPr="006B4A20">
        <w:rPr>
          <w:rFonts w:ascii="Verdana" w:hAnsi="Verdana"/>
          <w:bCs/>
          <w:sz w:val="20"/>
          <w:szCs w:val="20"/>
        </w:rPr>
        <w:t xml:space="preserve">to </w:t>
      </w:r>
      <w:r w:rsidRPr="006B4A20">
        <w:rPr>
          <w:rFonts w:ascii="Verdana" w:hAnsi="Verdana"/>
          <w:bCs/>
          <w:sz w:val="20"/>
          <w:szCs w:val="20"/>
        </w:rPr>
        <w:t>assist and oversee the progression of t</w:t>
      </w:r>
      <w:r w:rsidR="00E501C9" w:rsidRPr="006B4A20">
        <w:rPr>
          <w:rFonts w:ascii="Verdana" w:hAnsi="Verdana"/>
          <w:bCs/>
          <w:sz w:val="20"/>
          <w:szCs w:val="20"/>
        </w:rPr>
        <w:t>he work of the MG and the CAeM e</w:t>
      </w:r>
      <w:r w:rsidRPr="006B4A20">
        <w:rPr>
          <w:rFonts w:ascii="Verdana" w:hAnsi="Verdana"/>
          <w:bCs/>
          <w:sz w:val="20"/>
          <w:szCs w:val="20"/>
        </w:rPr>
        <w:t xml:space="preserve">xpert </w:t>
      </w:r>
      <w:r w:rsidR="00E501C9" w:rsidRPr="006B4A20">
        <w:rPr>
          <w:rFonts w:ascii="Verdana" w:hAnsi="Verdana"/>
          <w:bCs/>
          <w:sz w:val="20"/>
          <w:szCs w:val="20"/>
        </w:rPr>
        <w:t>t</w:t>
      </w:r>
      <w:r w:rsidRPr="006B4A20">
        <w:rPr>
          <w:rFonts w:ascii="Verdana" w:hAnsi="Verdana"/>
          <w:bCs/>
          <w:sz w:val="20"/>
          <w:szCs w:val="20"/>
        </w:rPr>
        <w:t>eams</w:t>
      </w:r>
      <w:r w:rsidR="00E501C9" w:rsidRPr="006B4A20">
        <w:rPr>
          <w:rFonts w:ascii="Verdana" w:hAnsi="Verdana"/>
          <w:bCs/>
          <w:sz w:val="20"/>
          <w:szCs w:val="20"/>
        </w:rPr>
        <w:t xml:space="preserve"> (ETs)</w:t>
      </w:r>
      <w:r w:rsidRPr="006B4A20">
        <w:rPr>
          <w:rFonts w:ascii="Verdana" w:hAnsi="Verdana"/>
          <w:bCs/>
          <w:sz w:val="20"/>
          <w:szCs w:val="20"/>
        </w:rPr>
        <w:t xml:space="preserve">, </w:t>
      </w:r>
      <w:r w:rsidR="003F5CD8" w:rsidRPr="006B4A20">
        <w:rPr>
          <w:rFonts w:ascii="Verdana" w:hAnsi="Verdana"/>
          <w:bCs/>
          <w:sz w:val="20"/>
          <w:szCs w:val="20"/>
        </w:rPr>
        <w:t xml:space="preserve">to exchange </w:t>
      </w:r>
      <w:r w:rsidRPr="006B4A20">
        <w:rPr>
          <w:rFonts w:ascii="Verdana" w:hAnsi="Verdana"/>
          <w:bCs/>
          <w:sz w:val="20"/>
          <w:szCs w:val="20"/>
        </w:rPr>
        <w:t>information on recent meetings</w:t>
      </w:r>
      <w:r w:rsidR="003F5CD8" w:rsidRPr="006B4A20">
        <w:rPr>
          <w:rFonts w:ascii="Verdana" w:hAnsi="Verdana"/>
          <w:bCs/>
          <w:sz w:val="20"/>
          <w:szCs w:val="20"/>
        </w:rPr>
        <w:t>/</w:t>
      </w:r>
      <w:r w:rsidRPr="006B4A20">
        <w:rPr>
          <w:rFonts w:ascii="Verdana" w:hAnsi="Verdana"/>
          <w:bCs/>
          <w:sz w:val="20"/>
          <w:szCs w:val="20"/>
        </w:rPr>
        <w:t>events</w:t>
      </w:r>
      <w:r w:rsidR="003F5CD8" w:rsidRPr="006B4A20">
        <w:rPr>
          <w:rFonts w:ascii="Verdana" w:hAnsi="Verdana"/>
          <w:bCs/>
          <w:sz w:val="20"/>
          <w:szCs w:val="20"/>
        </w:rPr>
        <w:t xml:space="preserve"> and prepare for upcoming meetings/events</w:t>
      </w:r>
      <w:r w:rsidRPr="006B4A20">
        <w:rPr>
          <w:rFonts w:ascii="Verdana" w:hAnsi="Verdana"/>
          <w:bCs/>
          <w:sz w:val="20"/>
          <w:szCs w:val="20"/>
        </w:rPr>
        <w:t xml:space="preserve">, and </w:t>
      </w:r>
      <w:r w:rsidR="003F5CD8" w:rsidRPr="006B4A20">
        <w:rPr>
          <w:rFonts w:ascii="Verdana" w:hAnsi="Verdana"/>
          <w:bCs/>
          <w:sz w:val="20"/>
          <w:szCs w:val="20"/>
        </w:rPr>
        <w:t xml:space="preserve">to </w:t>
      </w:r>
      <w:r w:rsidRPr="006B4A20">
        <w:rPr>
          <w:rFonts w:ascii="Verdana" w:hAnsi="Verdana"/>
          <w:bCs/>
          <w:sz w:val="20"/>
          <w:szCs w:val="20"/>
        </w:rPr>
        <w:t>address coordination needs including with ICAO</w:t>
      </w:r>
      <w:r w:rsidR="007967D3" w:rsidRPr="006B4A20">
        <w:rPr>
          <w:rFonts w:ascii="Verdana" w:hAnsi="Verdana"/>
          <w:bCs/>
          <w:sz w:val="20"/>
          <w:szCs w:val="20"/>
        </w:rPr>
        <w:t xml:space="preserve">. The MG </w:t>
      </w:r>
      <w:r w:rsidR="00815843" w:rsidRPr="006B4A20">
        <w:rPr>
          <w:rFonts w:ascii="Verdana" w:hAnsi="Verdana"/>
          <w:bCs/>
          <w:sz w:val="20"/>
          <w:szCs w:val="20"/>
        </w:rPr>
        <w:t>appreciated</w:t>
      </w:r>
      <w:r w:rsidR="007967D3" w:rsidRPr="006B4A20">
        <w:rPr>
          <w:rFonts w:ascii="Verdana" w:hAnsi="Verdana"/>
          <w:bCs/>
          <w:sz w:val="20"/>
          <w:szCs w:val="20"/>
        </w:rPr>
        <w:t xml:space="preserve"> that</w:t>
      </w:r>
      <w:r w:rsidR="003F5CD8" w:rsidRPr="006B4A20">
        <w:rPr>
          <w:rFonts w:ascii="Verdana" w:hAnsi="Verdana"/>
          <w:bCs/>
          <w:sz w:val="20"/>
          <w:szCs w:val="20"/>
        </w:rPr>
        <w:t xml:space="preserve"> </w:t>
      </w:r>
      <w:r w:rsidR="007967D3" w:rsidRPr="006B4A20">
        <w:rPr>
          <w:rFonts w:ascii="Verdana" w:hAnsi="Verdana"/>
          <w:bCs/>
          <w:sz w:val="20"/>
          <w:szCs w:val="20"/>
        </w:rPr>
        <w:t xml:space="preserve">a summary of discussions was </w:t>
      </w:r>
      <w:r w:rsidR="003F5CD8" w:rsidRPr="006B4A20">
        <w:rPr>
          <w:rFonts w:ascii="Verdana" w:hAnsi="Verdana"/>
          <w:bCs/>
          <w:sz w:val="20"/>
          <w:szCs w:val="20"/>
        </w:rPr>
        <w:t>prepared and circulated amongst the MG subsequent to each teleconference</w:t>
      </w:r>
      <w:r w:rsidR="007967D3" w:rsidRPr="006B4A20">
        <w:rPr>
          <w:rFonts w:ascii="Verdana" w:hAnsi="Verdana"/>
          <w:bCs/>
          <w:sz w:val="20"/>
          <w:szCs w:val="20"/>
        </w:rPr>
        <w:t>.</w:t>
      </w:r>
    </w:p>
    <w:p w:rsidR="003F5CD8" w:rsidRPr="006B4A20" w:rsidRDefault="003F5CD8" w:rsidP="003F5CD8">
      <w:pPr>
        <w:pStyle w:val="ListParagraph"/>
        <w:ind w:left="0"/>
        <w:jc w:val="both"/>
        <w:rPr>
          <w:rFonts w:ascii="Verdana" w:hAnsi="Verdana"/>
          <w:bCs/>
          <w:sz w:val="20"/>
          <w:szCs w:val="20"/>
        </w:rPr>
      </w:pPr>
    </w:p>
    <w:p w:rsidR="003F5CD8" w:rsidRPr="006F20BD" w:rsidRDefault="003F5CD8" w:rsidP="00EB1A02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6B4A20">
        <w:rPr>
          <w:rFonts w:ascii="Verdana" w:hAnsi="Verdana"/>
          <w:bCs/>
          <w:sz w:val="20"/>
          <w:szCs w:val="20"/>
        </w:rPr>
        <w:t xml:space="preserve">The MG agreed that it would be essential to continue to convene teleconferences during </w:t>
      </w:r>
      <w:r w:rsidRPr="006F20BD">
        <w:rPr>
          <w:rFonts w:ascii="Verdana" w:hAnsi="Verdana"/>
          <w:bCs/>
          <w:sz w:val="20"/>
          <w:szCs w:val="20"/>
        </w:rPr>
        <w:t xml:space="preserve">the intersession period, typically on a quarterly basis and at other times as necessary, and requested the Secretariat to prepare </w:t>
      </w:r>
      <w:r w:rsidR="00EB1A02" w:rsidRPr="006F20BD">
        <w:rPr>
          <w:rFonts w:ascii="Verdana" w:hAnsi="Verdana"/>
          <w:bCs/>
          <w:sz w:val="20"/>
          <w:szCs w:val="20"/>
        </w:rPr>
        <w:t xml:space="preserve">and coordinate a </w:t>
      </w:r>
      <w:r w:rsidRPr="006F20BD">
        <w:rPr>
          <w:rFonts w:ascii="Verdana" w:hAnsi="Verdana"/>
          <w:bCs/>
          <w:sz w:val="20"/>
          <w:szCs w:val="20"/>
        </w:rPr>
        <w:t xml:space="preserve">schedule for 2017 accordingly. </w:t>
      </w:r>
      <w:r w:rsidRPr="006F20BD">
        <w:rPr>
          <w:rFonts w:ascii="Verdana" w:hAnsi="Verdana"/>
          <w:b/>
          <w:sz w:val="20"/>
          <w:szCs w:val="20"/>
          <w:bdr w:val="single" w:sz="4" w:space="0" w:color="auto"/>
        </w:rPr>
        <w:t>Action XX</w:t>
      </w:r>
    </w:p>
    <w:p w:rsidR="007967D3" w:rsidRPr="006F20BD" w:rsidRDefault="007967D3" w:rsidP="00391970">
      <w:pPr>
        <w:jc w:val="both"/>
        <w:rPr>
          <w:rFonts w:ascii="Verdana" w:hAnsi="Verdana"/>
          <w:bCs/>
          <w:sz w:val="20"/>
          <w:szCs w:val="20"/>
        </w:rPr>
      </w:pPr>
    </w:p>
    <w:p w:rsidR="007967D3" w:rsidRPr="006F20BD" w:rsidRDefault="007967D3" w:rsidP="00E501C9">
      <w:pPr>
        <w:pStyle w:val="ListParagraph"/>
        <w:ind w:left="0"/>
        <w:jc w:val="both"/>
        <w:rPr>
          <w:rFonts w:ascii="Verdana" w:hAnsi="Verdana"/>
          <w:b/>
          <w:i/>
          <w:iCs/>
          <w:sz w:val="20"/>
          <w:szCs w:val="20"/>
        </w:rPr>
      </w:pPr>
      <w:r w:rsidRPr="006F20BD">
        <w:rPr>
          <w:rFonts w:ascii="Verdana" w:hAnsi="Verdana"/>
          <w:b/>
          <w:i/>
          <w:iCs/>
          <w:sz w:val="20"/>
          <w:szCs w:val="20"/>
        </w:rPr>
        <w:t>Monitoring of implementation of CAeM-MG actions</w:t>
      </w:r>
    </w:p>
    <w:p w:rsidR="007967D3" w:rsidRPr="006F20BD" w:rsidRDefault="007967D3" w:rsidP="00391970">
      <w:pPr>
        <w:jc w:val="both"/>
        <w:rPr>
          <w:rFonts w:ascii="Verdana" w:hAnsi="Verdana"/>
          <w:bCs/>
          <w:sz w:val="20"/>
          <w:szCs w:val="20"/>
        </w:rPr>
      </w:pPr>
    </w:p>
    <w:p w:rsidR="003F5CD8" w:rsidRPr="006F20BD" w:rsidRDefault="007967D3" w:rsidP="00776D8D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6F20BD">
        <w:rPr>
          <w:rFonts w:ascii="Verdana" w:hAnsi="Verdana"/>
          <w:bCs/>
          <w:sz w:val="20"/>
          <w:szCs w:val="20"/>
        </w:rPr>
        <w:t xml:space="preserve">The MG agreed that the Action List (table) provided </w:t>
      </w:r>
      <w:r w:rsidR="00776D8D">
        <w:rPr>
          <w:rFonts w:ascii="Verdana" w:hAnsi="Verdana"/>
          <w:bCs/>
          <w:sz w:val="20"/>
          <w:szCs w:val="20"/>
        </w:rPr>
        <w:t>in</w:t>
      </w:r>
      <w:bookmarkStart w:id="0" w:name="_GoBack"/>
      <w:bookmarkEnd w:id="0"/>
      <w:r w:rsidRPr="006F20BD">
        <w:rPr>
          <w:rFonts w:ascii="Verdana" w:hAnsi="Verdana"/>
          <w:bCs/>
          <w:sz w:val="20"/>
          <w:szCs w:val="20"/>
        </w:rPr>
        <w:t xml:space="preserve"> Annex </w:t>
      </w:r>
      <w:r w:rsidR="0069678F">
        <w:rPr>
          <w:rFonts w:ascii="Verdana" w:hAnsi="Verdana"/>
          <w:bCs/>
          <w:sz w:val="20"/>
          <w:szCs w:val="20"/>
        </w:rPr>
        <w:t>2</w:t>
      </w:r>
      <w:r w:rsidRPr="006F20BD">
        <w:rPr>
          <w:rFonts w:ascii="Verdana" w:hAnsi="Verdana"/>
          <w:bCs/>
          <w:sz w:val="20"/>
          <w:szCs w:val="20"/>
        </w:rPr>
        <w:t xml:space="preserve"> should be used as a tracking tool for the status of </w:t>
      </w:r>
      <w:r w:rsidR="00E501C9" w:rsidRPr="006F20BD">
        <w:rPr>
          <w:rFonts w:ascii="Verdana" w:hAnsi="Verdana"/>
          <w:bCs/>
          <w:sz w:val="20"/>
          <w:szCs w:val="20"/>
        </w:rPr>
        <w:t xml:space="preserve">follow-up of </w:t>
      </w:r>
      <w:r w:rsidRPr="006F20BD">
        <w:rPr>
          <w:rFonts w:ascii="Verdana" w:hAnsi="Verdana"/>
          <w:bCs/>
          <w:sz w:val="20"/>
          <w:szCs w:val="20"/>
        </w:rPr>
        <w:t>actions agreed by the MG</w:t>
      </w:r>
      <w:r w:rsidR="00E501C9" w:rsidRPr="006F20BD">
        <w:rPr>
          <w:rFonts w:ascii="Verdana" w:hAnsi="Verdana"/>
          <w:bCs/>
          <w:sz w:val="20"/>
          <w:szCs w:val="20"/>
        </w:rPr>
        <w:t>. T</w:t>
      </w:r>
      <w:r w:rsidR="00C446F1" w:rsidRPr="006F20BD">
        <w:rPr>
          <w:rFonts w:ascii="Verdana" w:hAnsi="Verdana"/>
          <w:bCs/>
          <w:sz w:val="20"/>
          <w:szCs w:val="20"/>
        </w:rPr>
        <w:t xml:space="preserve">he MG agreed that it would be beneficial to </w:t>
      </w:r>
      <w:r w:rsidR="006B4A20" w:rsidRPr="006F20BD">
        <w:rPr>
          <w:rFonts w:ascii="Verdana" w:hAnsi="Verdana"/>
          <w:bCs/>
          <w:sz w:val="20"/>
          <w:szCs w:val="20"/>
        </w:rPr>
        <w:t xml:space="preserve">maintain </w:t>
      </w:r>
      <w:r w:rsidR="00C446F1" w:rsidRPr="006F20BD">
        <w:rPr>
          <w:rFonts w:ascii="Verdana" w:hAnsi="Verdana"/>
          <w:bCs/>
          <w:sz w:val="20"/>
          <w:szCs w:val="20"/>
        </w:rPr>
        <w:t xml:space="preserve">the Action List on the </w:t>
      </w:r>
      <w:hyperlink r:id="rId10" w:history="1">
        <w:r w:rsidR="00776D8D">
          <w:rPr>
            <w:rStyle w:val="Hyperlink"/>
            <w:rFonts w:ascii="Verdana" w:hAnsi="Verdana"/>
            <w:bCs/>
            <w:sz w:val="20"/>
            <w:szCs w:val="20"/>
          </w:rPr>
          <w:t xml:space="preserve">AEMP </w:t>
        </w:r>
        <w:r w:rsidR="00C446F1" w:rsidRPr="006F20BD">
          <w:rPr>
            <w:rStyle w:val="Hyperlink"/>
            <w:rFonts w:ascii="Verdana" w:hAnsi="Verdana"/>
            <w:bCs/>
            <w:sz w:val="20"/>
            <w:szCs w:val="20"/>
          </w:rPr>
          <w:t>website</w:t>
        </w:r>
      </w:hyperlink>
      <w:r w:rsidR="00C446F1" w:rsidRPr="006F20BD">
        <w:rPr>
          <w:rFonts w:ascii="Verdana" w:hAnsi="Verdana"/>
          <w:bCs/>
          <w:sz w:val="20"/>
          <w:szCs w:val="20"/>
        </w:rPr>
        <w:t xml:space="preserve"> </w:t>
      </w:r>
      <w:r w:rsidR="006B4A20" w:rsidRPr="006F20BD">
        <w:rPr>
          <w:rFonts w:ascii="Verdana" w:hAnsi="Verdana"/>
          <w:bCs/>
          <w:sz w:val="20"/>
          <w:szCs w:val="20"/>
        </w:rPr>
        <w:t xml:space="preserve">including </w:t>
      </w:r>
      <w:r w:rsidR="00C446F1" w:rsidRPr="006F20BD">
        <w:rPr>
          <w:rFonts w:ascii="Verdana" w:hAnsi="Verdana"/>
          <w:bCs/>
          <w:sz w:val="20"/>
          <w:szCs w:val="20"/>
        </w:rPr>
        <w:t xml:space="preserve">a unique identifier and follow-up status scheme </w:t>
      </w:r>
      <w:r w:rsidR="003E470C" w:rsidRPr="006F20BD">
        <w:rPr>
          <w:rFonts w:ascii="Verdana" w:hAnsi="Verdana"/>
          <w:bCs/>
          <w:sz w:val="20"/>
          <w:szCs w:val="20"/>
        </w:rPr>
        <w:t>that</w:t>
      </w:r>
      <w:r w:rsidR="00C446F1" w:rsidRPr="006F20BD">
        <w:rPr>
          <w:rFonts w:ascii="Verdana" w:hAnsi="Verdana"/>
          <w:bCs/>
          <w:sz w:val="20"/>
          <w:szCs w:val="20"/>
        </w:rPr>
        <w:t xml:space="preserve"> more clearly denote</w:t>
      </w:r>
      <w:r w:rsidR="003E470C" w:rsidRPr="006F20BD">
        <w:rPr>
          <w:rFonts w:ascii="Verdana" w:hAnsi="Verdana"/>
          <w:bCs/>
          <w:sz w:val="20"/>
          <w:szCs w:val="20"/>
        </w:rPr>
        <w:t>s</w:t>
      </w:r>
      <w:r w:rsidR="00C446F1" w:rsidRPr="006F20BD">
        <w:rPr>
          <w:rFonts w:ascii="Verdana" w:hAnsi="Verdana"/>
          <w:bCs/>
          <w:sz w:val="20"/>
          <w:szCs w:val="20"/>
        </w:rPr>
        <w:t xml:space="preserve"> the origin and status of the actions agreed. </w:t>
      </w:r>
      <w:r w:rsidR="00C446F1" w:rsidRPr="006F20BD">
        <w:rPr>
          <w:rFonts w:ascii="Verdana" w:hAnsi="Verdana"/>
          <w:b/>
          <w:sz w:val="20"/>
          <w:szCs w:val="20"/>
          <w:bdr w:val="single" w:sz="4" w:space="0" w:color="auto"/>
        </w:rPr>
        <w:t>Action XX</w:t>
      </w:r>
    </w:p>
    <w:p w:rsidR="003F5CD8" w:rsidRDefault="003F5CD8" w:rsidP="003F5CD8">
      <w:pPr>
        <w:pStyle w:val="ListParagraph"/>
        <w:ind w:left="0"/>
        <w:jc w:val="both"/>
        <w:rPr>
          <w:rFonts w:ascii="Verdana" w:hAnsi="Verdana"/>
          <w:bCs/>
          <w:sz w:val="20"/>
          <w:szCs w:val="20"/>
        </w:rPr>
      </w:pPr>
    </w:p>
    <w:p w:rsidR="007967D3" w:rsidRPr="00C609FA" w:rsidRDefault="00C446F1" w:rsidP="003E470C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</w:t>
      </w:r>
      <w:r w:rsidR="00A9500A" w:rsidRPr="00C609FA">
        <w:rPr>
          <w:rFonts w:ascii="Verdana" w:hAnsi="Verdana"/>
          <w:bCs/>
          <w:sz w:val="20"/>
          <w:szCs w:val="20"/>
        </w:rPr>
        <w:t>he MG emphasized that all actions</w:t>
      </w:r>
      <w:r>
        <w:rPr>
          <w:rFonts w:ascii="Verdana" w:hAnsi="Verdana"/>
          <w:bCs/>
          <w:sz w:val="20"/>
          <w:szCs w:val="20"/>
        </w:rPr>
        <w:t xml:space="preserve"> identified </w:t>
      </w:r>
      <w:r w:rsidR="00EB1A02">
        <w:rPr>
          <w:rFonts w:ascii="Verdana" w:hAnsi="Verdana"/>
          <w:bCs/>
          <w:sz w:val="20"/>
          <w:szCs w:val="20"/>
        </w:rPr>
        <w:t xml:space="preserve">and agreed </w:t>
      </w:r>
      <w:r>
        <w:rPr>
          <w:rFonts w:ascii="Verdana" w:hAnsi="Verdana"/>
          <w:bCs/>
          <w:sz w:val="20"/>
          <w:szCs w:val="20"/>
        </w:rPr>
        <w:t xml:space="preserve">by the MG should </w:t>
      </w:r>
      <w:r w:rsidR="00A9500A" w:rsidRPr="00C609FA">
        <w:rPr>
          <w:rFonts w:ascii="Verdana" w:hAnsi="Verdana"/>
          <w:bCs/>
          <w:sz w:val="20"/>
          <w:szCs w:val="20"/>
        </w:rPr>
        <w:t xml:space="preserve">be SMART </w:t>
      </w:r>
      <w:r>
        <w:rPr>
          <w:rFonts w:ascii="Verdana" w:hAnsi="Verdana"/>
          <w:bCs/>
          <w:sz w:val="20"/>
          <w:szCs w:val="20"/>
        </w:rPr>
        <w:t>(</w:t>
      </w:r>
      <w:r w:rsidR="00A9500A" w:rsidRPr="00C609FA">
        <w:rPr>
          <w:rFonts w:ascii="Verdana" w:hAnsi="Verdana"/>
          <w:bCs/>
          <w:sz w:val="20"/>
          <w:szCs w:val="20"/>
        </w:rPr>
        <w:t>specific, measurable, assigned, realistic and time-bound</w:t>
      </w:r>
      <w:r>
        <w:rPr>
          <w:rFonts w:ascii="Verdana" w:hAnsi="Verdana"/>
          <w:bCs/>
          <w:sz w:val="20"/>
          <w:szCs w:val="20"/>
        </w:rPr>
        <w:t>).</w:t>
      </w:r>
    </w:p>
    <w:p w:rsidR="002172F1" w:rsidRPr="002169EF" w:rsidRDefault="002172F1" w:rsidP="00391970">
      <w:pPr>
        <w:jc w:val="both"/>
        <w:rPr>
          <w:rFonts w:ascii="Verdana" w:hAnsi="Verdana"/>
          <w:b/>
          <w:sz w:val="20"/>
          <w:szCs w:val="20"/>
        </w:rPr>
      </w:pPr>
    </w:p>
    <w:p w:rsidR="002172F1" w:rsidRPr="002169EF" w:rsidRDefault="002172F1" w:rsidP="00391970">
      <w:pPr>
        <w:jc w:val="both"/>
        <w:rPr>
          <w:rFonts w:ascii="Verdana" w:hAnsi="Verdana"/>
          <w:b/>
          <w:sz w:val="20"/>
          <w:szCs w:val="20"/>
        </w:rPr>
      </w:pPr>
    </w:p>
    <w:p w:rsidR="00C609FA" w:rsidRDefault="00C609FA" w:rsidP="00C609FA">
      <w:pPr>
        <w:pStyle w:val="ListParagraph"/>
        <w:pageBreakBefore/>
        <w:numPr>
          <w:ilvl w:val="0"/>
          <w:numId w:val="5"/>
        </w:numPr>
        <w:ind w:left="357" w:hanging="357"/>
        <w:rPr>
          <w:rFonts w:ascii="Verdana" w:hAnsi="Verdana"/>
          <w:b/>
          <w:sz w:val="20"/>
          <w:szCs w:val="20"/>
        </w:rPr>
        <w:sectPr w:rsidR="00C609FA" w:rsidSect="00E811C6">
          <w:headerReference w:type="first" r:id="rId11"/>
          <w:pgSz w:w="11907" w:h="16840" w:code="9"/>
          <w:pgMar w:top="1418" w:right="1418" w:bottom="1418" w:left="1418" w:header="454" w:footer="720" w:gutter="0"/>
          <w:cols w:space="720"/>
          <w:titlePg/>
          <w:docGrid w:linePitch="360"/>
        </w:sectPr>
      </w:pPr>
    </w:p>
    <w:p w:rsidR="003A63F2" w:rsidRPr="003A63F2" w:rsidRDefault="00DA2A69" w:rsidP="00DA2A69">
      <w:pPr>
        <w:pStyle w:val="ListParagraph"/>
        <w:pageBreakBefore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ab/>
      </w:r>
      <w:r w:rsidR="00581E2E" w:rsidRPr="003A63F2">
        <w:rPr>
          <w:rFonts w:ascii="Verdana" w:hAnsi="Verdana"/>
          <w:b/>
          <w:sz w:val="20"/>
          <w:szCs w:val="20"/>
        </w:rPr>
        <w:t>ACTION</w:t>
      </w:r>
      <w:r w:rsidR="00FD600C" w:rsidRPr="003A63F2">
        <w:rPr>
          <w:rFonts w:ascii="Verdana" w:hAnsi="Verdana"/>
          <w:b/>
          <w:sz w:val="20"/>
          <w:szCs w:val="20"/>
        </w:rPr>
        <w:t xml:space="preserve"> LIST</w:t>
      </w:r>
    </w:p>
    <w:p w:rsidR="003A63F2" w:rsidRDefault="003A63F2" w:rsidP="003A63F2">
      <w:pPr>
        <w:rPr>
          <w:rFonts w:ascii="Verdana" w:hAnsi="Verdana"/>
          <w:sz w:val="20"/>
          <w:szCs w:val="20"/>
        </w:rPr>
      </w:pPr>
    </w:p>
    <w:p w:rsidR="00DA2A69" w:rsidRDefault="00DA2A69" w:rsidP="003A63F2">
      <w:pPr>
        <w:rPr>
          <w:rFonts w:ascii="Verdana" w:hAnsi="Verdana"/>
          <w:sz w:val="20"/>
          <w:szCs w:val="20"/>
        </w:rPr>
      </w:pPr>
    </w:p>
    <w:p w:rsidR="003A63F2" w:rsidRPr="004A6BF4" w:rsidRDefault="00C446F1" w:rsidP="003A63F2">
      <w:pPr>
        <w:suppressAutoHyphens/>
        <w:jc w:val="center"/>
        <w:rPr>
          <w:rFonts w:ascii="Verdana" w:hAnsi="Verdana"/>
          <w:b/>
          <w:color w:val="00000A"/>
          <w:sz w:val="20"/>
          <w:szCs w:val="20"/>
        </w:rPr>
      </w:pPr>
      <w:r w:rsidRPr="004A6BF4">
        <w:rPr>
          <w:rFonts w:ascii="Verdana" w:hAnsi="Verdana"/>
          <w:b/>
          <w:color w:val="00000A"/>
          <w:sz w:val="20"/>
          <w:szCs w:val="20"/>
        </w:rPr>
        <w:t>Status of follow-up key:</w:t>
      </w:r>
    </w:p>
    <w:p w:rsidR="00C446F1" w:rsidRPr="004A6BF4" w:rsidRDefault="00C446F1" w:rsidP="003A63F2">
      <w:pPr>
        <w:suppressAutoHyphens/>
        <w:jc w:val="center"/>
        <w:rPr>
          <w:rFonts w:ascii="Verdana" w:hAnsi="Verdana"/>
          <w:bCs/>
          <w:color w:val="00000A"/>
          <w:sz w:val="20"/>
          <w:szCs w:val="20"/>
        </w:rPr>
      </w:pPr>
    </w:p>
    <w:tbl>
      <w:tblPr>
        <w:tblStyle w:val="TableGrid"/>
        <w:tblW w:w="0" w:type="auto"/>
        <w:jc w:val="center"/>
        <w:tblInd w:w="86" w:type="dxa"/>
        <w:tblLook w:val="04A0" w:firstRow="1" w:lastRow="0" w:firstColumn="1" w:lastColumn="0" w:noHBand="0" w:noVBand="1"/>
      </w:tblPr>
      <w:tblGrid>
        <w:gridCol w:w="1492"/>
        <w:gridCol w:w="1447"/>
        <w:gridCol w:w="1546"/>
        <w:gridCol w:w="1598"/>
        <w:gridCol w:w="1563"/>
        <w:gridCol w:w="1555"/>
      </w:tblGrid>
      <w:tr w:rsidR="003A63F2" w:rsidRPr="004A6BF4" w:rsidTr="006B4A20">
        <w:trPr>
          <w:jc w:val="center"/>
        </w:trPr>
        <w:tc>
          <w:tcPr>
            <w:tcW w:w="1615" w:type="dxa"/>
            <w:shd w:val="clear" w:color="auto" w:fill="FF0000"/>
          </w:tcPr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Not started</w:t>
            </w:r>
          </w:p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Work on the task has not begun and is not underway.</w:t>
            </w:r>
          </w:p>
        </w:tc>
        <w:tc>
          <w:tcPr>
            <w:tcW w:w="1701" w:type="dxa"/>
            <w:shd w:val="clear" w:color="auto" w:fill="FFC000"/>
          </w:tcPr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On hold</w:t>
            </w:r>
          </w:p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Work on the task has begun but is not finished and is not being actively worked on.</w:t>
            </w:r>
          </w:p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3A63F2" w:rsidRPr="004A6BF4" w:rsidRDefault="003E470C" w:rsidP="00AB42AF">
            <w:pPr>
              <w:suppressAutoHyphens/>
              <w:jc w:val="center"/>
              <w:rPr>
                <w:rFonts w:ascii="Verdana" w:hAnsi="Verdana"/>
                <w:b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On-going</w:t>
            </w:r>
          </w:p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Work on the task has begun and is actively underway.</w:t>
            </w:r>
          </w:p>
        </w:tc>
        <w:tc>
          <w:tcPr>
            <w:tcW w:w="1701" w:type="dxa"/>
            <w:shd w:val="clear" w:color="auto" w:fill="00B050"/>
          </w:tcPr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Completed</w:t>
            </w:r>
          </w:p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Work on the task has been completed.</w:t>
            </w:r>
          </w:p>
        </w:tc>
        <w:tc>
          <w:tcPr>
            <w:tcW w:w="1701" w:type="dxa"/>
            <w:shd w:val="clear" w:color="auto" w:fill="00B0F0"/>
          </w:tcPr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Deferred</w:t>
            </w:r>
          </w:p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Work on starting or completing the task has been deferred to a later date.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Cancelled</w:t>
            </w:r>
          </w:p>
          <w:p w:rsidR="003A63F2" w:rsidRPr="004A6BF4" w:rsidRDefault="003A63F2" w:rsidP="00AB42AF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Work on the task has stopped without being started or completed and is no longer required.</w:t>
            </w:r>
          </w:p>
        </w:tc>
      </w:tr>
    </w:tbl>
    <w:p w:rsidR="003A63F2" w:rsidRPr="004A6BF4" w:rsidRDefault="003A63F2" w:rsidP="003A63F2">
      <w:pPr>
        <w:suppressAutoHyphens/>
        <w:jc w:val="center"/>
        <w:rPr>
          <w:rFonts w:ascii="Verdana" w:hAnsi="Verdana"/>
          <w:bCs/>
          <w:color w:val="00000A"/>
          <w:sz w:val="20"/>
          <w:szCs w:val="20"/>
        </w:rPr>
      </w:pPr>
    </w:p>
    <w:p w:rsidR="00815843" w:rsidRPr="004A6BF4" w:rsidRDefault="00815843" w:rsidP="003A63F2">
      <w:pPr>
        <w:suppressAutoHyphens/>
        <w:jc w:val="center"/>
        <w:rPr>
          <w:rFonts w:ascii="Verdana" w:hAnsi="Verdana"/>
          <w:b/>
          <w:color w:val="00000A"/>
          <w:sz w:val="20"/>
          <w:szCs w:val="20"/>
        </w:rPr>
      </w:pPr>
    </w:p>
    <w:p w:rsidR="003A63F2" w:rsidRPr="004A6BF4" w:rsidRDefault="00815843" w:rsidP="00EB1A02">
      <w:pPr>
        <w:suppressAutoHyphens/>
        <w:jc w:val="center"/>
        <w:rPr>
          <w:rFonts w:ascii="Verdana" w:hAnsi="Verdana"/>
          <w:b/>
          <w:color w:val="00000A"/>
          <w:sz w:val="20"/>
          <w:szCs w:val="20"/>
        </w:rPr>
      </w:pPr>
      <w:r w:rsidRPr="004A6BF4">
        <w:rPr>
          <w:rFonts w:ascii="Verdana" w:hAnsi="Verdana"/>
          <w:b/>
          <w:color w:val="00000A"/>
          <w:sz w:val="20"/>
          <w:szCs w:val="20"/>
        </w:rPr>
        <w:t xml:space="preserve">Action </w:t>
      </w:r>
      <w:r w:rsidR="00EB1A02" w:rsidRPr="004A6BF4">
        <w:rPr>
          <w:rFonts w:ascii="Verdana" w:hAnsi="Verdana"/>
          <w:b/>
          <w:color w:val="00000A"/>
          <w:sz w:val="20"/>
          <w:szCs w:val="20"/>
        </w:rPr>
        <w:t>identifier</w:t>
      </w:r>
      <w:r w:rsidR="00056C9C" w:rsidRPr="004A6BF4">
        <w:rPr>
          <w:rFonts w:ascii="Verdana" w:hAnsi="Verdana"/>
          <w:b/>
          <w:color w:val="00000A"/>
          <w:sz w:val="20"/>
          <w:szCs w:val="20"/>
        </w:rPr>
        <w:t xml:space="preserve"> key:</w:t>
      </w:r>
    </w:p>
    <w:p w:rsidR="00815843" w:rsidRPr="004A6BF4" w:rsidRDefault="00815843" w:rsidP="003A63F2">
      <w:pPr>
        <w:suppressAutoHyphens/>
        <w:jc w:val="center"/>
        <w:rPr>
          <w:rFonts w:ascii="Verdana" w:hAnsi="Verdana"/>
          <w:bCs/>
          <w:color w:val="00000A"/>
          <w:sz w:val="20"/>
          <w:szCs w:val="20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7797"/>
      </w:tblGrid>
      <w:tr w:rsidR="00815843" w:rsidRPr="004A6BF4" w:rsidTr="00DA2A69">
        <w:trPr>
          <w:trHeight w:val="641"/>
        </w:trPr>
        <w:tc>
          <w:tcPr>
            <w:tcW w:w="1417" w:type="dxa"/>
            <w:vAlign w:val="center"/>
          </w:tcPr>
          <w:p w:rsidR="00815843" w:rsidRPr="004A6BF4" w:rsidRDefault="003E470C" w:rsidP="00220E0B">
            <w:pPr>
              <w:suppressAutoHyphens/>
              <w:jc w:val="center"/>
              <w:rPr>
                <w:rFonts w:ascii="Verdana" w:hAnsi="Verdana"/>
                <w:b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A</w:t>
            </w:r>
            <w:r w:rsidR="00815843"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[</w:t>
            </w:r>
            <w:proofErr w:type="spellStart"/>
            <w:r w:rsidR="00815843"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nn</w:t>
            </w:r>
            <w:proofErr w:type="spellEnd"/>
            <w:r w:rsidR="00815843"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]</w:t>
            </w:r>
            <w:r w:rsidR="00220E0B"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-[</w:t>
            </w:r>
            <w:proofErr w:type="spellStart"/>
            <w:r w:rsidR="00220E0B"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yyyy</w:t>
            </w:r>
            <w:proofErr w:type="spellEnd"/>
            <w:r w:rsidR="00220E0B" w:rsidRPr="004A6BF4">
              <w:rPr>
                <w:rFonts w:ascii="Verdana" w:hAnsi="Verdana"/>
                <w:b/>
                <w:color w:val="00000A"/>
                <w:sz w:val="20"/>
                <w:szCs w:val="20"/>
              </w:rPr>
              <w:t>]</w:t>
            </w:r>
          </w:p>
        </w:tc>
        <w:tc>
          <w:tcPr>
            <w:tcW w:w="7797" w:type="dxa"/>
            <w:vAlign w:val="center"/>
          </w:tcPr>
          <w:p w:rsidR="00815843" w:rsidRPr="004A6BF4" w:rsidRDefault="00815843" w:rsidP="00220E0B">
            <w:pPr>
              <w:suppressAutoHyphens/>
              <w:rPr>
                <w:rFonts w:ascii="Verdana" w:hAnsi="Verdana"/>
                <w:b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>For actions arising from CAeM Management Group</w:t>
            </w:r>
            <w:r w:rsidR="006B4A20"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 xml:space="preserve"> meetings,</w:t>
            </w:r>
            <w:r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 xml:space="preserve"> where </w:t>
            </w:r>
            <w:r w:rsidR="00220E0B"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>A[</w:t>
            </w:r>
            <w:proofErr w:type="spellStart"/>
            <w:r w:rsidR="00220E0B"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>nn</w:t>
            </w:r>
            <w:proofErr w:type="spellEnd"/>
            <w:r w:rsidR="00220E0B"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 xml:space="preserve">] denotes the action number and </w:t>
            </w:r>
            <w:r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>[</w:t>
            </w:r>
            <w:proofErr w:type="spellStart"/>
            <w:r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>yyyy</w:t>
            </w:r>
            <w:proofErr w:type="spellEnd"/>
            <w:r w:rsidRPr="004A6BF4">
              <w:rPr>
                <w:rFonts w:ascii="Verdana" w:hAnsi="Verdana"/>
                <w:bCs/>
                <w:color w:val="00000A"/>
                <w:sz w:val="20"/>
                <w:szCs w:val="20"/>
              </w:rPr>
              <w:t>] denotes the year</w:t>
            </w:r>
          </w:p>
        </w:tc>
      </w:tr>
      <w:tr w:rsidR="00815843" w:rsidRPr="004A6BF4" w:rsidTr="00DA2A69">
        <w:tc>
          <w:tcPr>
            <w:tcW w:w="1417" w:type="dxa"/>
            <w:vAlign w:val="center"/>
          </w:tcPr>
          <w:p w:rsidR="00EB1A02" w:rsidRPr="004A6BF4" w:rsidRDefault="00EB1A02" w:rsidP="003E470C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Example:</w:t>
            </w:r>
          </w:p>
          <w:p w:rsidR="00815843" w:rsidRPr="004A6BF4" w:rsidRDefault="00220E0B" w:rsidP="00220E0B">
            <w:pPr>
              <w:suppressAutoHyphens/>
              <w:jc w:val="center"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A01-</w:t>
            </w:r>
            <w:r w:rsidR="00EB1A02"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2016</w:t>
            </w:r>
          </w:p>
        </w:tc>
        <w:tc>
          <w:tcPr>
            <w:tcW w:w="7797" w:type="dxa"/>
            <w:vAlign w:val="center"/>
          </w:tcPr>
          <w:p w:rsidR="00815843" w:rsidRPr="004A6BF4" w:rsidRDefault="00EB1A02" w:rsidP="00EB1A02">
            <w:pPr>
              <w:suppressAutoHyphens/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 xml:space="preserve">Action 01 arising from the </w:t>
            </w:r>
            <w:r w:rsidR="006B4A20"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 xml:space="preserve">CAeM </w:t>
            </w:r>
            <w:r w:rsidRPr="004A6BF4">
              <w:rPr>
                <w:rFonts w:ascii="Verdana" w:hAnsi="Verdana"/>
                <w:bCs/>
                <w:i/>
                <w:iCs/>
                <w:color w:val="00000A"/>
                <w:sz w:val="20"/>
                <w:szCs w:val="20"/>
              </w:rPr>
              <w:t>Management Group meeting in 2016</w:t>
            </w:r>
          </w:p>
        </w:tc>
      </w:tr>
    </w:tbl>
    <w:p w:rsidR="00815843" w:rsidRPr="004A6BF4" w:rsidRDefault="00815843" w:rsidP="003A63F2">
      <w:pPr>
        <w:suppressAutoHyphens/>
        <w:jc w:val="center"/>
        <w:rPr>
          <w:rFonts w:ascii="Verdana" w:hAnsi="Verdana"/>
          <w:bCs/>
          <w:color w:val="00000A"/>
          <w:sz w:val="20"/>
          <w:szCs w:val="20"/>
        </w:rPr>
      </w:pPr>
    </w:p>
    <w:p w:rsidR="00056C9C" w:rsidRPr="004A6BF4" w:rsidRDefault="00056C9C" w:rsidP="00815843">
      <w:pPr>
        <w:suppressAutoHyphens/>
        <w:jc w:val="center"/>
        <w:rPr>
          <w:rFonts w:ascii="Verdana" w:hAnsi="Verdana"/>
          <w:bCs/>
          <w:color w:val="00000A"/>
          <w:sz w:val="20"/>
          <w:szCs w:val="20"/>
        </w:rPr>
      </w:pPr>
    </w:p>
    <w:p w:rsidR="00DA2A69" w:rsidRDefault="00DA2A69">
      <w:pPr>
        <w:rPr>
          <w:rFonts w:ascii="Verdana" w:hAnsi="Verdana"/>
          <w:b/>
          <w:bCs/>
          <w:sz w:val="20"/>
          <w:szCs w:val="20"/>
        </w:rPr>
        <w:sectPr w:rsidR="00DA2A69" w:rsidSect="009B0A95">
          <w:pgSz w:w="11907" w:h="16840" w:code="9"/>
          <w:pgMar w:top="1418" w:right="1418" w:bottom="1418" w:left="1418" w:header="454" w:footer="720" w:gutter="0"/>
          <w:cols w:space="720"/>
          <w:titlePg/>
          <w:docGrid w:linePitch="360"/>
        </w:sectPr>
      </w:pPr>
    </w:p>
    <w:p w:rsidR="00FD600C" w:rsidRPr="004A6BF4" w:rsidRDefault="00815843" w:rsidP="00815843">
      <w:pPr>
        <w:jc w:val="center"/>
        <w:rPr>
          <w:rFonts w:ascii="Verdana" w:hAnsi="Verdana"/>
          <w:b/>
          <w:bCs/>
          <w:sz w:val="20"/>
          <w:szCs w:val="20"/>
        </w:rPr>
      </w:pPr>
      <w:r w:rsidRPr="004A6BF4">
        <w:rPr>
          <w:rFonts w:ascii="Verdana" w:hAnsi="Verdana"/>
          <w:b/>
          <w:bCs/>
          <w:sz w:val="20"/>
          <w:szCs w:val="20"/>
        </w:rPr>
        <w:lastRenderedPageBreak/>
        <w:t>Actions a</w:t>
      </w:r>
      <w:r w:rsidR="00FD600C" w:rsidRPr="004A6BF4">
        <w:rPr>
          <w:rFonts w:ascii="Verdana" w:hAnsi="Verdana"/>
          <w:b/>
          <w:bCs/>
          <w:sz w:val="20"/>
          <w:szCs w:val="20"/>
        </w:rPr>
        <w:t>greed by the CAeM Management Group meeting in May 2015</w:t>
      </w:r>
    </w:p>
    <w:p w:rsidR="009E2EC6" w:rsidRPr="004A6BF4" w:rsidRDefault="009E2EC6" w:rsidP="009E2EC6">
      <w:pPr>
        <w:jc w:val="center"/>
        <w:rPr>
          <w:rFonts w:ascii="Verdana" w:hAnsi="Verdana"/>
          <w:sz w:val="20"/>
          <w:szCs w:val="20"/>
        </w:rPr>
      </w:pPr>
      <w:r w:rsidRPr="004A6BF4">
        <w:rPr>
          <w:rFonts w:ascii="Verdana" w:hAnsi="Verdana"/>
          <w:sz w:val="20"/>
          <w:szCs w:val="20"/>
        </w:rPr>
        <w:t>&lt;To be updated during the meeting&gt;</w:t>
      </w:r>
    </w:p>
    <w:p w:rsidR="00581E2E" w:rsidRPr="004A6BF4" w:rsidRDefault="00581E2E" w:rsidP="00581E2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80"/>
        <w:gridCol w:w="756"/>
        <w:gridCol w:w="4017"/>
        <w:gridCol w:w="2004"/>
        <w:gridCol w:w="2077"/>
        <w:gridCol w:w="1534"/>
        <w:gridCol w:w="1372"/>
        <w:gridCol w:w="1675"/>
      </w:tblGrid>
      <w:tr w:rsidR="00220E0B" w:rsidRPr="004A6BF4" w:rsidTr="006F20BD">
        <w:trPr>
          <w:cantSplit/>
          <w:trHeight w:val="454"/>
          <w:tblHeader/>
        </w:trPr>
        <w:tc>
          <w:tcPr>
            <w:tcW w:w="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E501C9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 xml:space="preserve">ID </w:t>
            </w:r>
            <w:r w:rsidR="00C609FA" w:rsidRPr="004A6BF4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715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C609FA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Ag. Item</w:t>
            </w:r>
          </w:p>
        </w:tc>
        <w:tc>
          <w:tcPr>
            <w:tcW w:w="4153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C609FA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Action</w:t>
            </w:r>
          </w:p>
        </w:tc>
        <w:tc>
          <w:tcPr>
            <w:tcW w:w="2019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C609FA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Responsibility</w:t>
            </w:r>
          </w:p>
        </w:tc>
        <w:tc>
          <w:tcPr>
            <w:tcW w:w="2111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C609FA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Deliverables</w:t>
            </w:r>
          </w:p>
        </w:tc>
        <w:tc>
          <w:tcPr>
            <w:tcW w:w="1550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C609FA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Deadline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C609FA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Status</w:t>
            </w:r>
          </w:p>
        </w:tc>
        <w:tc>
          <w:tcPr>
            <w:tcW w:w="1712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92CDDC" w:themeFill="accent5" w:themeFillTint="99"/>
            <w:tcMar>
              <w:left w:w="103" w:type="dxa"/>
            </w:tcMar>
            <w:vAlign w:val="center"/>
          </w:tcPr>
          <w:p w:rsidR="00C609FA" w:rsidRPr="004A6BF4" w:rsidRDefault="00C609FA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Note</w:t>
            </w: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A01-</w:t>
            </w:r>
            <w:r w:rsidR="00E501C9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1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Action List table should be used as a tracking tool of the status of implementation of the actions agreed by the MG and ETs meetings. All actions should be clearly formulated and addressed to a responsible body/person with specific target date and deliverable.</w:t>
            </w:r>
          </w:p>
        </w:tc>
        <w:tc>
          <w:tcPr>
            <w:tcW w:w="201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P/CAeM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Secretariat</w:t>
            </w:r>
          </w:p>
        </w:tc>
        <w:tc>
          <w:tcPr>
            <w:tcW w:w="21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Action List</w:t>
            </w:r>
          </w:p>
        </w:tc>
        <w:tc>
          <w:tcPr>
            <w:tcW w:w="15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permanent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E72A9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A02-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E72A9" w:rsidRPr="004A6BF4" w:rsidRDefault="00FE72A9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4.1.1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E72A9" w:rsidRPr="004A6BF4" w:rsidRDefault="00FE72A9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Conduct global survey on institutional</w:t>
            </w:r>
          </w:p>
          <w:p w:rsidR="00FE72A9" w:rsidRPr="004A6BF4" w:rsidRDefault="00FE72A9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arrangements for the provision of MET</w:t>
            </w:r>
            <w:r w:rsidR="004A6BF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6BF4">
              <w:rPr>
                <w:rFonts w:ascii="Verdana" w:hAnsi="Verdana"/>
                <w:sz w:val="20"/>
                <w:szCs w:val="20"/>
              </w:rPr>
              <w:t>Service for aviation, including business</w:t>
            </w:r>
            <w:r w:rsidR="004A6BF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6BF4">
              <w:rPr>
                <w:rFonts w:ascii="Verdana" w:hAnsi="Verdana"/>
                <w:sz w:val="20"/>
                <w:szCs w:val="20"/>
              </w:rPr>
              <w:t>models and cost-recovery aspects.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E72A9" w:rsidRPr="004A6BF4" w:rsidRDefault="00FE72A9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ET-GOV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E72A9" w:rsidRPr="004A6BF4" w:rsidRDefault="00FE72A9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Survey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E72A9" w:rsidRPr="004A6BF4" w:rsidRDefault="00FE72A9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End of 2016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FE72A9" w:rsidRPr="004A6BF4" w:rsidRDefault="006B4A20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E72A9" w:rsidRPr="004A6BF4" w:rsidRDefault="00FE72A9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A03-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4.1.1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Revive WMO-No. 732, Guide to Practices for Meteorological Offices Serving Aviation. WMO-No. 732 should be fully updated and become a placeholder for the new guidance material; the starting point should be developing a new outline of the document.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ET-GOV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Secretariat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Outline of updated WMO-No.732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 xml:space="preserve">ET-GOV meeting, 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Nov 2015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A04-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4.1.5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Transforming the WMO-Doc.1083, Manual on the Implementation of Education and Training Standards in Meteorology and Hydrology, Volume I, into a Guide which on compliance with both qualification and competency requirements.  Coordinate with Secretariat how this work would be organized and should contribute the chapters related to the AMP.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ET-ETC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Secretariat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Proposed outline of the Guide;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Inputs on C&amp;Q for AMP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 xml:space="preserve">ET-ETC meeting, 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Nov 2015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lastRenderedPageBreak/>
              <w:t>A05-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4.1.1 – 4.1.5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The updated TORs of all ETs to be published on the WMO AEMP website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Secretariat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Updated web site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Jul 2015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A06-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All ETs should review and update their work programmes and submit to Secretariat for posting on the website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ET Chairs, Co-Chairs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Updated final work programmes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Sep 2015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A07-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Prepare CAeM Operating Plan 2</w:t>
            </w:r>
            <w:r w:rsidR="00220E0B" w:rsidRPr="004A6BF4">
              <w:rPr>
                <w:rFonts w:ascii="Verdana" w:hAnsi="Verdana"/>
                <w:sz w:val="20"/>
                <w:szCs w:val="20"/>
              </w:rPr>
              <w:t>0</w:t>
            </w:r>
            <w:r w:rsidRPr="004A6BF4">
              <w:rPr>
                <w:rFonts w:ascii="Verdana" w:hAnsi="Verdana"/>
                <w:sz w:val="20"/>
                <w:szCs w:val="20"/>
              </w:rPr>
              <w:t xml:space="preserve">16-2019 as a compilation of the work programmes of the Expert Teams with appropriate grouping of the tasks according to the KOs.  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ET-GOV to coordinate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Draft CAeM OP 2016-2019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 xml:space="preserve">ET-GOV meeting, 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Nov 2015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A08-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Request EC WG-SOP to provide appropriate templates and guidance on the WMO organization-wide integrated strategic/operating planning process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P/CAeM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Secretariat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Working paper for EC WG-SOP meeting in 2016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Jan/Feb 2016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A09-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All ET Co-Chairs to consider the new CAeM priorities in the formulation of their work programmes and tasks. The priorities to be posted on the WMO/AEMP website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ET Chairs, Co-Chairs</w:t>
            </w:r>
          </w:p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Secretariat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Updated work programmes and website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sz w:val="20"/>
                <w:szCs w:val="20"/>
              </w:rPr>
              <w:t>Sep 2015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bCs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</w:tr>
      <w:tr w:rsidR="00220E0B" w:rsidRPr="004A6BF4" w:rsidTr="006F20BD">
        <w:trPr>
          <w:cantSplit/>
          <w:trHeight w:val="45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220E0B" w:rsidP="006F20BD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A10-</w:t>
            </w:r>
            <w:r w:rsidR="00056C9C" w:rsidRPr="004A6BF4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Submit proposals to the 2016 PTC and PTC/PRA meetings aimed at improved top-level coordination and prioritization of tasks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P/CAeM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Working paper for PTC and PTC/PRA 2016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Jan 2016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On-going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09FA" w:rsidRPr="004A6BF4" w:rsidRDefault="00C609FA" w:rsidP="006F20BD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With inputs from MG members</w:t>
            </w:r>
          </w:p>
        </w:tc>
      </w:tr>
    </w:tbl>
    <w:p w:rsidR="00581E2E" w:rsidRPr="004A6BF4" w:rsidRDefault="00581E2E" w:rsidP="00581E2E">
      <w:pPr>
        <w:rPr>
          <w:rFonts w:ascii="Verdana" w:hAnsi="Verdana"/>
          <w:sz w:val="20"/>
          <w:szCs w:val="20"/>
        </w:rPr>
      </w:pPr>
    </w:p>
    <w:p w:rsidR="00DA2A69" w:rsidRDefault="00DA2A69" w:rsidP="00581E2E">
      <w:pPr>
        <w:rPr>
          <w:rFonts w:ascii="Verdana" w:hAnsi="Verdana"/>
          <w:sz w:val="20"/>
          <w:szCs w:val="20"/>
        </w:rPr>
        <w:sectPr w:rsidR="00DA2A69" w:rsidSect="00DA2A69">
          <w:headerReference w:type="default" r:id="rId12"/>
          <w:headerReference w:type="first" r:id="rId13"/>
          <w:pgSz w:w="16840" w:h="11907" w:orient="landscape" w:code="9"/>
          <w:pgMar w:top="1134" w:right="1418" w:bottom="1418" w:left="1418" w:header="454" w:footer="720" w:gutter="0"/>
          <w:pgNumType w:start="1"/>
          <w:cols w:space="720"/>
          <w:titlePg/>
          <w:docGrid w:linePitch="360"/>
        </w:sectPr>
      </w:pPr>
    </w:p>
    <w:p w:rsidR="00E21AC6" w:rsidRPr="004A6BF4" w:rsidRDefault="00E21AC6" w:rsidP="00E21AC6">
      <w:pPr>
        <w:jc w:val="center"/>
        <w:rPr>
          <w:rFonts w:ascii="Verdana" w:hAnsi="Verdana"/>
          <w:b/>
          <w:bCs/>
          <w:sz w:val="20"/>
          <w:szCs w:val="20"/>
        </w:rPr>
      </w:pPr>
      <w:r w:rsidRPr="004A6BF4">
        <w:rPr>
          <w:rFonts w:ascii="Verdana" w:hAnsi="Verdana"/>
          <w:b/>
          <w:bCs/>
          <w:sz w:val="20"/>
          <w:szCs w:val="20"/>
        </w:rPr>
        <w:lastRenderedPageBreak/>
        <w:t>A</w:t>
      </w:r>
      <w:r w:rsidR="00815843" w:rsidRPr="004A6BF4">
        <w:rPr>
          <w:rFonts w:ascii="Verdana" w:hAnsi="Verdana"/>
          <w:b/>
          <w:bCs/>
          <w:sz w:val="20"/>
          <w:szCs w:val="20"/>
        </w:rPr>
        <w:t>ctions a</w:t>
      </w:r>
      <w:r w:rsidRPr="004A6BF4">
        <w:rPr>
          <w:rFonts w:ascii="Verdana" w:hAnsi="Verdana"/>
          <w:b/>
          <w:bCs/>
          <w:sz w:val="20"/>
          <w:szCs w:val="20"/>
        </w:rPr>
        <w:t>greed by the CAeM Management Group meeting in November 2016</w:t>
      </w:r>
    </w:p>
    <w:p w:rsidR="00FD600C" w:rsidRPr="004A6BF4" w:rsidRDefault="00E21AC6" w:rsidP="00E21AC6">
      <w:pPr>
        <w:jc w:val="center"/>
        <w:rPr>
          <w:rFonts w:ascii="Verdana" w:hAnsi="Verdana"/>
          <w:sz w:val="20"/>
          <w:szCs w:val="20"/>
        </w:rPr>
      </w:pPr>
      <w:r w:rsidRPr="004A6BF4">
        <w:rPr>
          <w:rFonts w:ascii="Verdana" w:hAnsi="Verdana"/>
          <w:sz w:val="20"/>
          <w:szCs w:val="20"/>
        </w:rPr>
        <w:t>&lt;To be populated during the meeting&gt;</w:t>
      </w:r>
    </w:p>
    <w:p w:rsidR="00E21AC6" w:rsidRPr="004A6BF4" w:rsidRDefault="00E21AC6" w:rsidP="00581E2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80"/>
        <w:gridCol w:w="756"/>
        <w:gridCol w:w="4014"/>
        <w:gridCol w:w="2004"/>
        <w:gridCol w:w="2084"/>
        <w:gridCol w:w="1531"/>
        <w:gridCol w:w="1382"/>
        <w:gridCol w:w="1669"/>
      </w:tblGrid>
      <w:tr w:rsidR="00EB1A02" w:rsidRPr="004A6BF4" w:rsidTr="006F20BD">
        <w:trPr>
          <w:cantSplit/>
          <w:trHeight w:val="454"/>
          <w:tblHeader/>
        </w:trPr>
        <w:tc>
          <w:tcPr>
            <w:tcW w:w="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501C9" w:rsidP="00EB1A02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 xml:space="preserve">ID </w:t>
            </w:r>
            <w:r w:rsidR="00E21AC6" w:rsidRPr="004A6BF4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713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21AC6" w:rsidP="00AB42A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Ag. Item</w:t>
            </w:r>
          </w:p>
        </w:tc>
        <w:tc>
          <w:tcPr>
            <w:tcW w:w="4070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21AC6" w:rsidP="00AB42A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Action</w:t>
            </w:r>
          </w:p>
        </w:tc>
        <w:tc>
          <w:tcPr>
            <w:tcW w:w="2008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21AC6" w:rsidP="00AB42A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Responsibility</w:t>
            </w:r>
          </w:p>
        </w:tc>
        <w:tc>
          <w:tcPr>
            <w:tcW w:w="2093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21AC6" w:rsidP="00AB42A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Deliverables</w:t>
            </w:r>
          </w:p>
        </w:tc>
        <w:tc>
          <w:tcPr>
            <w:tcW w:w="1537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21AC6" w:rsidP="00AB42A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Deadline</w:t>
            </w:r>
          </w:p>
        </w:tc>
        <w:tc>
          <w:tcPr>
            <w:tcW w:w="1390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21AC6" w:rsidP="00AB42A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Status</w:t>
            </w:r>
          </w:p>
        </w:tc>
        <w:tc>
          <w:tcPr>
            <w:tcW w:w="1686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D99594" w:themeFill="accent2" w:themeFillTint="99"/>
            <w:tcMar>
              <w:left w:w="103" w:type="dxa"/>
            </w:tcMar>
            <w:vAlign w:val="center"/>
          </w:tcPr>
          <w:p w:rsidR="00E21AC6" w:rsidRPr="004A6BF4" w:rsidRDefault="00E21AC6" w:rsidP="00AB42A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Note</w:t>
            </w:r>
          </w:p>
        </w:tc>
      </w:tr>
      <w:tr w:rsidR="008C3BDF" w:rsidRPr="004A6BF4" w:rsidTr="006F20BD">
        <w:trPr>
          <w:cantSplit/>
          <w:trHeight w:val="454"/>
        </w:trPr>
        <w:tc>
          <w:tcPr>
            <w:tcW w:w="72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B21116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A01-2016</w:t>
            </w:r>
          </w:p>
        </w:tc>
        <w:tc>
          <w:tcPr>
            <w:tcW w:w="71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AB42A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0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AB42A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0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AB42A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AB42A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53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AB42A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39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AB42A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68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AB42A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8C3BDF" w:rsidRPr="004A6BF4" w:rsidTr="006F20BD">
        <w:trPr>
          <w:cantSplit/>
          <w:trHeight w:val="454"/>
        </w:trPr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8C3BD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A02-2016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8C3BDF" w:rsidRPr="004A6BF4" w:rsidTr="006F20BD">
        <w:trPr>
          <w:cantSplit/>
          <w:trHeight w:val="454"/>
        </w:trPr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8C3BDF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A03-2016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3BDF" w:rsidRPr="004A6BF4" w:rsidRDefault="008C3BDF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EB1A02" w:rsidRPr="004A6BF4" w:rsidTr="006F20BD">
        <w:trPr>
          <w:cantSplit/>
          <w:trHeight w:val="454"/>
        </w:trPr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EB1A02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6BF4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A02" w:rsidRPr="004A6BF4" w:rsidRDefault="00EB1A02" w:rsidP="00723578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A6BF4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E21AC6" w:rsidRPr="004A6BF4" w:rsidRDefault="00E21AC6" w:rsidP="00581E2E">
      <w:pPr>
        <w:rPr>
          <w:rFonts w:ascii="Verdana" w:hAnsi="Verdana"/>
          <w:sz w:val="20"/>
          <w:szCs w:val="20"/>
        </w:rPr>
      </w:pPr>
    </w:p>
    <w:p w:rsidR="00E21AC6" w:rsidRPr="004A6BF4" w:rsidRDefault="00E21AC6" w:rsidP="00581E2E">
      <w:pPr>
        <w:rPr>
          <w:rFonts w:ascii="Verdana" w:hAnsi="Verdana"/>
          <w:sz w:val="20"/>
          <w:szCs w:val="20"/>
        </w:rPr>
      </w:pPr>
    </w:p>
    <w:p w:rsidR="00D41D53" w:rsidRPr="004A6BF4" w:rsidRDefault="00FD600C" w:rsidP="00FD600C">
      <w:pPr>
        <w:jc w:val="center"/>
        <w:rPr>
          <w:rFonts w:ascii="Verdana" w:hAnsi="Verdana"/>
          <w:sz w:val="20"/>
          <w:szCs w:val="20"/>
        </w:rPr>
      </w:pPr>
      <w:r w:rsidRPr="004A6BF4">
        <w:rPr>
          <w:rFonts w:ascii="Verdana" w:hAnsi="Verdana"/>
          <w:sz w:val="20"/>
          <w:szCs w:val="20"/>
        </w:rPr>
        <w:t>_____</w:t>
      </w:r>
    </w:p>
    <w:sectPr w:rsidR="00D41D53" w:rsidRPr="004A6BF4" w:rsidSect="00DA2A69">
      <w:headerReference w:type="first" r:id="rId14"/>
      <w:pgSz w:w="16840" w:h="11907" w:orient="landscape" w:code="9"/>
      <w:pgMar w:top="1134" w:right="1418" w:bottom="1418" w:left="1418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5A" w:rsidRDefault="0006335A">
      <w:r>
        <w:separator/>
      </w:r>
    </w:p>
  </w:endnote>
  <w:endnote w:type="continuationSeparator" w:id="0">
    <w:p w:rsidR="0006335A" w:rsidRDefault="000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5A" w:rsidRDefault="0006335A">
      <w:r>
        <w:separator/>
      </w:r>
    </w:p>
  </w:footnote>
  <w:footnote w:type="continuationSeparator" w:id="0">
    <w:p w:rsidR="0006335A" w:rsidRDefault="0006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69" w:rsidRPr="00DA2A69" w:rsidRDefault="00DA2A69" w:rsidP="00DA2A69">
    <w:pPr>
      <w:pStyle w:val="Header"/>
      <w:jc w:val="center"/>
      <w:rPr>
        <w:rFonts w:ascii="Verdana" w:hAnsi="Verdana"/>
        <w:sz w:val="18"/>
        <w:szCs w:val="18"/>
      </w:rPr>
    </w:pPr>
    <w:proofErr w:type="spellStart"/>
    <w:r w:rsidRPr="00DA2A69">
      <w:rPr>
        <w:rFonts w:ascii="Verdana" w:hAnsi="Verdana"/>
        <w:sz w:val="18"/>
        <w:szCs w:val="18"/>
        <w:lang w:val="de-DE"/>
      </w:rPr>
      <w:t>CAeM</w:t>
    </w:r>
    <w:proofErr w:type="spellEnd"/>
    <w:r w:rsidRPr="00DA2A69">
      <w:rPr>
        <w:rFonts w:ascii="Verdana" w:hAnsi="Verdana"/>
        <w:sz w:val="18"/>
        <w:szCs w:val="18"/>
        <w:lang w:val="de-DE"/>
      </w:rPr>
      <w:t xml:space="preserve">-MG/2016/Doc. 2, </w:t>
    </w:r>
    <w:r>
      <w:rPr>
        <w:rStyle w:val="PageNumber"/>
        <w:rFonts w:ascii="Verdana" w:hAnsi="Verdana"/>
        <w:sz w:val="18"/>
        <w:szCs w:val="18"/>
      </w:rPr>
      <w:t xml:space="preserve">Annex 1, p. </w:t>
    </w:r>
  </w:p>
  <w:p w:rsidR="00E811C6" w:rsidRPr="00DA2A69" w:rsidRDefault="00E811C6" w:rsidP="00DA2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20" w:rsidRPr="00DA2A69" w:rsidRDefault="00E70820" w:rsidP="00FF3BB9">
    <w:pPr>
      <w:pStyle w:val="Header"/>
      <w:jc w:val="center"/>
      <w:rPr>
        <w:rFonts w:ascii="Verdana" w:hAnsi="Verdana"/>
        <w:sz w:val="18"/>
        <w:szCs w:val="18"/>
      </w:rPr>
    </w:pPr>
    <w:r w:rsidRPr="00DA2A69">
      <w:rPr>
        <w:rFonts w:ascii="Verdana" w:hAnsi="Verdana"/>
        <w:sz w:val="18"/>
        <w:szCs w:val="18"/>
        <w:lang w:val="de-DE"/>
      </w:rPr>
      <w:t>C</w:t>
    </w:r>
    <w:r w:rsidR="00AD5EA7" w:rsidRPr="00DA2A69">
      <w:rPr>
        <w:rFonts w:ascii="Verdana" w:hAnsi="Verdana"/>
        <w:sz w:val="18"/>
        <w:szCs w:val="18"/>
        <w:lang w:val="de-DE"/>
      </w:rPr>
      <w:t>A</w:t>
    </w:r>
    <w:r w:rsidR="004B4533" w:rsidRPr="00DA2A69">
      <w:rPr>
        <w:rFonts w:ascii="Verdana" w:hAnsi="Verdana"/>
        <w:sz w:val="18"/>
        <w:szCs w:val="18"/>
        <w:lang w:val="de-DE"/>
      </w:rPr>
      <w:t>eM-</w:t>
    </w:r>
    <w:r w:rsidRPr="00DA2A69">
      <w:rPr>
        <w:rFonts w:ascii="Verdana" w:hAnsi="Verdana"/>
        <w:sz w:val="18"/>
        <w:szCs w:val="18"/>
        <w:lang w:val="de-DE"/>
      </w:rPr>
      <w:t>MG</w:t>
    </w:r>
    <w:r w:rsidR="004B4533" w:rsidRPr="00DA2A69">
      <w:rPr>
        <w:rFonts w:ascii="Verdana" w:hAnsi="Verdana"/>
        <w:sz w:val="18"/>
        <w:szCs w:val="18"/>
        <w:lang w:val="de-DE"/>
      </w:rPr>
      <w:t>/</w:t>
    </w:r>
    <w:r w:rsidRPr="00DA2A69">
      <w:rPr>
        <w:rFonts w:ascii="Verdana" w:hAnsi="Verdana"/>
        <w:sz w:val="18"/>
        <w:szCs w:val="18"/>
        <w:lang w:val="de-DE"/>
      </w:rPr>
      <w:t>20</w:t>
    </w:r>
    <w:r w:rsidR="00AF62C8" w:rsidRPr="00DA2A69">
      <w:rPr>
        <w:rFonts w:ascii="Verdana" w:hAnsi="Verdana"/>
        <w:sz w:val="18"/>
        <w:szCs w:val="18"/>
        <w:lang w:val="de-DE"/>
      </w:rPr>
      <w:t>1</w:t>
    </w:r>
    <w:r w:rsidR="002169EF" w:rsidRPr="00DA2A69">
      <w:rPr>
        <w:rFonts w:ascii="Verdana" w:hAnsi="Verdana"/>
        <w:sz w:val="18"/>
        <w:szCs w:val="18"/>
        <w:lang w:val="de-DE"/>
      </w:rPr>
      <w:t>6</w:t>
    </w:r>
    <w:r w:rsidRPr="00DA2A69">
      <w:rPr>
        <w:rFonts w:ascii="Verdana" w:hAnsi="Verdana"/>
        <w:sz w:val="18"/>
        <w:szCs w:val="18"/>
        <w:lang w:val="de-DE"/>
      </w:rPr>
      <w:t xml:space="preserve">/Doc. </w:t>
    </w:r>
    <w:r w:rsidR="00FF3BB9" w:rsidRPr="00DA2A69">
      <w:rPr>
        <w:rFonts w:ascii="Verdana" w:hAnsi="Verdana"/>
        <w:sz w:val="18"/>
        <w:szCs w:val="18"/>
        <w:lang w:val="de-DE"/>
      </w:rPr>
      <w:t>2</w:t>
    </w:r>
    <w:r w:rsidRPr="00DA2A69">
      <w:rPr>
        <w:rFonts w:ascii="Verdana" w:hAnsi="Verdana"/>
        <w:sz w:val="18"/>
        <w:szCs w:val="18"/>
        <w:lang w:val="de-DE"/>
      </w:rPr>
      <w:t xml:space="preserve">, p. </w:t>
    </w:r>
    <w:r w:rsidRPr="00DA2A69">
      <w:rPr>
        <w:rStyle w:val="PageNumber"/>
        <w:rFonts w:ascii="Verdana" w:hAnsi="Verdana"/>
        <w:sz w:val="18"/>
        <w:szCs w:val="18"/>
      </w:rPr>
      <w:fldChar w:fldCharType="begin"/>
    </w:r>
    <w:r w:rsidRPr="00DA2A69">
      <w:rPr>
        <w:rStyle w:val="PageNumber"/>
        <w:rFonts w:ascii="Verdana" w:hAnsi="Verdana"/>
        <w:sz w:val="18"/>
        <w:szCs w:val="18"/>
        <w:lang w:val="de-DE"/>
      </w:rPr>
      <w:instrText xml:space="preserve"> PAGE </w:instrText>
    </w:r>
    <w:r w:rsidRPr="00DA2A69">
      <w:rPr>
        <w:rStyle w:val="PageNumber"/>
        <w:rFonts w:ascii="Verdana" w:hAnsi="Verdana"/>
        <w:sz w:val="18"/>
        <w:szCs w:val="18"/>
      </w:rPr>
      <w:fldChar w:fldCharType="separate"/>
    </w:r>
    <w:r w:rsidR="00776D8D">
      <w:rPr>
        <w:rStyle w:val="PageNumber"/>
        <w:rFonts w:ascii="Verdana" w:hAnsi="Verdana"/>
        <w:noProof/>
        <w:sz w:val="18"/>
        <w:szCs w:val="18"/>
        <w:lang w:val="de-DE"/>
      </w:rPr>
      <w:t>2</w:t>
    </w:r>
    <w:r w:rsidRPr="00DA2A69">
      <w:rPr>
        <w:rStyle w:val="PageNumber"/>
        <w:rFonts w:ascii="Verdana" w:hAnsi="Verdana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69" w:rsidRPr="00DA2A69" w:rsidRDefault="00DA2A69" w:rsidP="00DA2A69">
    <w:pPr>
      <w:pStyle w:val="Header"/>
      <w:jc w:val="center"/>
      <w:rPr>
        <w:rFonts w:ascii="Verdana" w:hAnsi="Verdana"/>
        <w:sz w:val="18"/>
        <w:szCs w:val="18"/>
      </w:rPr>
    </w:pPr>
    <w:proofErr w:type="spellStart"/>
    <w:r w:rsidRPr="00DA2A69">
      <w:rPr>
        <w:rFonts w:ascii="Verdana" w:hAnsi="Verdana"/>
        <w:sz w:val="18"/>
        <w:szCs w:val="18"/>
        <w:lang w:val="de-DE"/>
      </w:rPr>
      <w:t>CAeM</w:t>
    </w:r>
    <w:proofErr w:type="spellEnd"/>
    <w:r w:rsidRPr="00DA2A69">
      <w:rPr>
        <w:rFonts w:ascii="Verdana" w:hAnsi="Verdana"/>
        <w:sz w:val="18"/>
        <w:szCs w:val="18"/>
        <w:lang w:val="de-DE"/>
      </w:rPr>
      <w:t xml:space="preserve">-MG/2016/Doc. 2, </w:t>
    </w:r>
    <w:r>
      <w:rPr>
        <w:rStyle w:val="PageNumber"/>
        <w:rFonts w:ascii="Verdana" w:hAnsi="Verdana"/>
        <w:sz w:val="18"/>
        <w:szCs w:val="18"/>
      </w:rPr>
      <w:t xml:space="preserve">Annex 1, p. </w:t>
    </w:r>
    <w:r w:rsidRPr="00DA2A69">
      <w:rPr>
        <w:rStyle w:val="PageNumber"/>
        <w:rFonts w:ascii="Verdana" w:hAnsi="Verdana"/>
        <w:sz w:val="18"/>
        <w:szCs w:val="18"/>
      </w:rPr>
      <w:fldChar w:fldCharType="begin"/>
    </w:r>
    <w:r w:rsidRPr="00DA2A69">
      <w:rPr>
        <w:rStyle w:val="PageNumber"/>
        <w:rFonts w:ascii="Verdana" w:hAnsi="Verdana"/>
        <w:sz w:val="18"/>
        <w:szCs w:val="18"/>
      </w:rPr>
      <w:instrText xml:space="preserve"> PAGE   \* MERGEFORMAT </w:instrText>
    </w:r>
    <w:r w:rsidRPr="00DA2A69">
      <w:rPr>
        <w:rStyle w:val="PageNumber"/>
        <w:rFonts w:ascii="Verdana" w:hAnsi="Verdana"/>
        <w:sz w:val="18"/>
        <w:szCs w:val="18"/>
      </w:rPr>
      <w:fldChar w:fldCharType="separate"/>
    </w:r>
    <w:r w:rsidR="00776D8D">
      <w:rPr>
        <w:rStyle w:val="PageNumber"/>
        <w:rFonts w:ascii="Verdana" w:hAnsi="Verdana"/>
        <w:noProof/>
        <w:sz w:val="18"/>
        <w:szCs w:val="18"/>
      </w:rPr>
      <w:t>2</w:t>
    </w:r>
    <w:r w:rsidRPr="00DA2A69">
      <w:rPr>
        <w:rStyle w:val="PageNumber"/>
        <w:rFonts w:ascii="Verdana" w:hAnsi="Verdana"/>
        <w:noProof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69" w:rsidRPr="00DA2A69" w:rsidRDefault="00DA2A69" w:rsidP="00DA2A69">
    <w:pPr>
      <w:pStyle w:val="Header"/>
      <w:jc w:val="center"/>
      <w:rPr>
        <w:rFonts w:ascii="Verdana" w:hAnsi="Verdana"/>
        <w:sz w:val="18"/>
        <w:szCs w:val="18"/>
      </w:rPr>
    </w:pPr>
    <w:proofErr w:type="spellStart"/>
    <w:r w:rsidRPr="00DA2A69">
      <w:rPr>
        <w:rFonts w:ascii="Verdana" w:hAnsi="Verdana"/>
        <w:sz w:val="18"/>
        <w:szCs w:val="18"/>
        <w:lang w:val="de-DE"/>
      </w:rPr>
      <w:t>CAeM</w:t>
    </w:r>
    <w:proofErr w:type="spellEnd"/>
    <w:r w:rsidRPr="00DA2A69">
      <w:rPr>
        <w:rFonts w:ascii="Verdana" w:hAnsi="Verdana"/>
        <w:sz w:val="18"/>
        <w:szCs w:val="18"/>
        <w:lang w:val="de-DE"/>
      </w:rPr>
      <w:t xml:space="preserve">-MG/2016/Doc. 2, </w:t>
    </w:r>
    <w:r>
      <w:rPr>
        <w:rStyle w:val="PageNumber"/>
        <w:rFonts w:ascii="Verdana" w:hAnsi="Verdana"/>
        <w:sz w:val="18"/>
        <w:szCs w:val="18"/>
      </w:rPr>
      <w:t>Annex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69" w:rsidRPr="00DA2A69" w:rsidRDefault="00DA2A69" w:rsidP="00DA2A69">
    <w:pPr>
      <w:pStyle w:val="Header"/>
      <w:jc w:val="center"/>
      <w:rPr>
        <w:rFonts w:ascii="Verdana" w:hAnsi="Verdana"/>
        <w:sz w:val="18"/>
        <w:szCs w:val="18"/>
      </w:rPr>
    </w:pPr>
    <w:proofErr w:type="spellStart"/>
    <w:r w:rsidRPr="00DA2A69">
      <w:rPr>
        <w:rFonts w:ascii="Verdana" w:hAnsi="Verdana"/>
        <w:sz w:val="18"/>
        <w:szCs w:val="18"/>
        <w:lang w:val="de-DE"/>
      </w:rPr>
      <w:t>CAeM</w:t>
    </w:r>
    <w:proofErr w:type="spellEnd"/>
    <w:r w:rsidRPr="00DA2A69">
      <w:rPr>
        <w:rFonts w:ascii="Verdana" w:hAnsi="Verdana"/>
        <w:sz w:val="18"/>
        <w:szCs w:val="18"/>
        <w:lang w:val="de-DE"/>
      </w:rPr>
      <w:t xml:space="preserve">-MG/2016/Doc. 2, </w:t>
    </w:r>
    <w:r>
      <w:rPr>
        <w:rStyle w:val="PageNumber"/>
        <w:rFonts w:ascii="Verdana" w:hAnsi="Verdana"/>
        <w:sz w:val="18"/>
        <w:szCs w:val="18"/>
      </w:rPr>
      <w:t>Annex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A3A"/>
    <w:multiLevelType w:val="multilevel"/>
    <w:tmpl w:val="2EDAB6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</w:rPr>
    </w:lvl>
  </w:abstractNum>
  <w:abstractNum w:abstractNumId="1">
    <w:nsid w:val="444B3665"/>
    <w:multiLevelType w:val="multilevel"/>
    <w:tmpl w:val="589A74C2"/>
    <w:lvl w:ilvl="0">
      <w:start w:val="5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495"/>
        </w:tabs>
        <w:ind w:left="249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73"/>
        </w:tabs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601"/>
        </w:tabs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095"/>
        </w:tabs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229"/>
        </w:tabs>
        <w:ind w:left="10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723"/>
        </w:tabs>
        <w:ind w:left="11723" w:hanging="1800"/>
      </w:pPr>
      <w:rPr>
        <w:rFonts w:hint="default"/>
      </w:rPr>
    </w:lvl>
  </w:abstractNum>
  <w:abstractNum w:abstractNumId="2">
    <w:nsid w:val="4CDA13B7"/>
    <w:multiLevelType w:val="multilevel"/>
    <w:tmpl w:val="FD8C66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  <w:b/>
      </w:rPr>
    </w:lvl>
  </w:abstractNum>
  <w:abstractNum w:abstractNumId="3">
    <w:nsid w:val="56665EE6"/>
    <w:multiLevelType w:val="hybridMultilevel"/>
    <w:tmpl w:val="4810FE2E"/>
    <w:lvl w:ilvl="0" w:tplc="5784D58E">
      <w:start w:val="4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64C100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86"/>
    <w:rsid w:val="00020BB2"/>
    <w:rsid w:val="00056C9C"/>
    <w:rsid w:val="0006335A"/>
    <w:rsid w:val="00070D6B"/>
    <w:rsid w:val="00071F24"/>
    <w:rsid w:val="001406D3"/>
    <w:rsid w:val="00214256"/>
    <w:rsid w:val="002169EF"/>
    <w:rsid w:val="002172F1"/>
    <w:rsid w:val="00220E0B"/>
    <w:rsid w:val="00234E41"/>
    <w:rsid w:val="002816BF"/>
    <w:rsid w:val="002C33B7"/>
    <w:rsid w:val="00306317"/>
    <w:rsid w:val="0031041F"/>
    <w:rsid w:val="003368DC"/>
    <w:rsid w:val="00391970"/>
    <w:rsid w:val="003A63F2"/>
    <w:rsid w:val="003B1630"/>
    <w:rsid w:val="003B57A7"/>
    <w:rsid w:val="003E470C"/>
    <w:rsid w:val="003F5CD8"/>
    <w:rsid w:val="00405D97"/>
    <w:rsid w:val="004330E2"/>
    <w:rsid w:val="004A6BF4"/>
    <w:rsid w:val="004B4533"/>
    <w:rsid w:val="004D7EB0"/>
    <w:rsid w:val="004F442D"/>
    <w:rsid w:val="004F5414"/>
    <w:rsid w:val="005737A9"/>
    <w:rsid w:val="00581E2E"/>
    <w:rsid w:val="005A67A9"/>
    <w:rsid w:val="005D4D48"/>
    <w:rsid w:val="005E62E9"/>
    <w:rsid w:val="006120E2"/>
    <w:rsid w:val="00613C50"/>
    <w:rsid w:val="00650D4C"/>
    <w:rsid w:val="006807CB"/>
    <w:rsid w:val="0069678F"/>
    <w:rsid w:val="006B4A20"/>
    <w:rsid w:val="006D6E7C"/>
    <w:rsid w:val="006F20BD"/>
    <w:rsid w:val="00712B98"/>
    <w:rsid w:val="00717F73"/>
    <w:rsid w:val="007300B1"/>
    <w:rsid w:val="00757681"/>
    <w:rsid w:val="007733F7"/>
    <w:rsid w:val="007762B9"/>
    <w:rsid w:val="00776D8D"/>
    <w:rsid w:val="00785281"/>
    <w:rsid w:val="007967D3"/>
    <w:rsid w:val="007A0B86"/>
    <w:rsid w:val="007B2784"/>
    <w:rsid w:val="007F1878"/>
    <w:rsid w:val="00812E4B"/>
    <w:rsid w:val="00815843"/>
    <w:rsid w:val="00826DAF"/>
    <w:rsid w:val="008516A1"/>
    <w:rsid w:val="00891728"/>
    <w:rsid w:val="00894B77"/>
    <w:rsid w:val="008C3BDF"/>
    <w:rsid w:val="008D1AC2"/>
    <w:rsid w:val="008D45ED"/>
    <w:rsid w:val="008D6DEF"/>
    <w:rsid w:val="009060EC"/>
    <w:rsid w:val="0092483E"/>
    <w:rsid w:val="00954D3A"/>
    <w:rsid w:val="00963E8E"/>
    <w:rsid w:val="009B0A95"/>
    <w:rsid w:val="009E2EC6"/>
    <w:rsid w:val="00A03A9D"/>
    <w:rsid w:val="00A43995"/>
    <w:rsid w:val="00A9500A"/>
    <w:rsid w:val="00AD5EA7"/>
    <w:rsid w:val="00AE5EE7"/>
    <w:rsid w:val="00AF62C8"/>
    <w:rsid w:val="00B02E5F"/>
    <w:rsid w:val="00B33A3C"/>
    <w:rsid w:val="00B51572"/>
    <w:rsid w:val="00B92C71"/>
    <w:rsid w:val="00BA0751"/>
    <w:rsid w:val="00BF6F78"/>
    <w:rsid w:val="00C1531A"/>
    <w:rsid w:val="00C446F1"/>
    <w:rsid w:val="00C609FA"/>
    <w:rsid w:val="00CC0F5E"/>
    <w:rsid w:val="00CF01A8"/>
    <w:rsid w:val="00CF5ACC"/>
    <w:rsid w:val="00D41D53"/>
    <w:rsid w:val="00DA2A69"/>
    <w:rsid w:val="00DD5B51"/>
    <w:rsid w:val="00E21AC6"/>
    <w:rsid w:val="00E501C9"/>
    <w:rsid w:val="00E70820"/>
    <w:rsid w:val="00E72C91"/>
    <w:rsid w:val="00E811C6"/>
    <w:rsid w:val="00EB1A02"/>
    <w:rsid w:val="00EF4F8A"/>
    <w:rsid w:val="00F3745E"/>
    <w:rsid w:val="00F84610"/>
    <w:rsid w:val="00F90D74"/>
    <w:rsid w:val="00FB2328"/>
    <w:rsid w:val="00FD600C"/>
    <w:rsid w:val="00FE3D78"/>
    <w:rsid w:val="00FE72A9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tabs>
        <w:tab w:val="center" w:pos="5387"/>
      </w:tabs>
      <w:spacing w:line="286" w:lineRule="auto"/>
      <w:ind w:left="851" w:right="851"/>
      <w:jc w:val="center"/>
      <w:outlineLvl w:val="0"/>
    </w:pPr>
    <w:rPr>
      <w:rFonts w:eastAsia="Times New Roman"/>
      <w:b/>
      <w:bCs/>
      <w:snapToGrid w:val="0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bCs/>
      <w:snapToGrid w:val="0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</w:tabs>
      <w:spacing w:line="286" w:lineRule="auto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8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character" w:styleId="PageNumber">
    <w:name w:val="page number"/>
    <w:basedOn w:val="DefaultParagraphFont"/>
    <w:rsid w:val="00B92C71"/>
  </w:style>
  <w:style w:type="table" w:styleId="TableGrid">
    <w:name w:val="Table Grid"/>
    <w:basedOn w:val="TableNormal"/>
    <w:rsid w:val="0058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MOBodyText">
    <w:name w:val="WMO_BodyText"/>
    <w:basedOn w:val="Normal"/>
    <w:link w:val="WMOBodyTextCharChar"/>
    <w:rsid w:val="005E62E9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character" w:customStyle="1" w:styleId="WMOBodyTextCharChar">
    <w:name w:val="WMO_BodyText Char Char"/>
    <w:link w:val="WMOBodyText"/>
    <w:rsid w:val="005E62E9"/>
    <w:rPr>
      <w:rFonts w:ascii="Arial" w:eastAsia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30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B1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954D3A"/>
    <w:pPr>
      <w:ind w:left="720"/>
      <w:contextualSpacing/>
    </w:pPr>
  </w:style>
  <w:style w:type="character" w:styleId="CommentReference">
    <w:name w:val="annotation reference"/>
    <w:basedOn w:val="DefaultParagraphFont"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2784"/>
    <w:rPr>
      <w:rFonts w:ascii="Arial" w:hAnsi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B2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2784"/>
    <w:rPr>
      <w:rFonts w:ascii="Arial" w:hAnsi="Arial"/>
      <w:b/>
      <w:bCs/>
      <w:lang w:val="en-GB" w:eastAsia="zh-CN"/>
    </w:rPr>
  </w:style>
  <w:style w:type="character" w:styleId="Hyperlink">
    <w:name w:val="Hyperlink"/>
    <w:basedOn w:val="DefaultParagraphFont"/>
    <w:rsid w:val="003E47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0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tabs>
        <w:tab w:val="center" w:pos="5387"/>
      </w:tabs>
      <w:spacing w:line="286" w:lineRule="auto"/>
      <w:ind w:left="851" w:right="851"/>
      <w:jc w:val="center"/>
      <w:outlineLvl w:val="0"/>
    </w:pPr>
    <w:rPr>
      <w:rFonts w:eastAsia="Times New Roman"/>
      <w:b/>
      <w:bCs/>
      <w:snapToGrid w:val="0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bCs/>
      <w:snapToGrid w:val="0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</w:tabs>
      <w:spacing w:line="286" w:lineRule="auto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8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character" w:styleId="PageNumber">
    <w:name w:val="page number"/>
    <w:basedOn w:val="DefaultParagraphFont"/>
    <w:rsid w:val="00B92C71"/>
  </w:style>
  <w:style w:type="table" w:styleId="TableGrid">
    <w:name w:val="Table Grid"/>
    <w:basedOn w:val="TableNormal"/>
    <w:rsid w:val="0058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MOBodyText">
    <w:name w:val="WMO_BodyText"/>
    <w:basedOn w:val="Normal"/>
    <w:link w:val="WMOBodyTextCharChar"/>
    <w:rsid w:val="005E62E9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character" w:customStyle="1" w:styleId="WMOBodyTextCharChar">
    <w:name w:val="WMO_BodyText Char Char"/>
    <w:link w:val="WMOBodyText"/>
    <w:rsid w:val="005E62E9"/>
    <w:rPr>
      <w:rFonts w:ascii="Arial" w:eastAsia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30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B1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954D3A"/>
    <w:pPr>
      <w:ind w:left="720"/>
      <w:contextualSpacing/>
    </w:pPr>
  </w:style>
  <w:style w:type="character" w:styleId="CommentReference">
    <w:name w:val="annotation reference"/>
    <w:basedOn w:val="DefaultParagraphFont"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2784"/>
    <w:rPr>
      <w:rFonts w:ascii="Arial" w:hAnsi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B2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2784"/>
    <w:rPr>
      <w:rFonts w:ascii="Arial" w:hAnsi="Arial"/>
      <w:b/>
      <w:bCs/>
      <w:lang w:val="en-GB" w:eastAsia="zh-CN"/>
    </w:rPr>
  </w:style>
  <w:style w:type="character" w:styleId="Hyperlink">
    <w:name w:val="Hyperlink"/>
    <w:basedOn w:val="DefaultParagraphFont"/>
    <w:rsid w:val="003E47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0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mo.int/aemp/M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9E86-111E-46FB-9445-A6543082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2016-10-31T13:59:00Z</dcterms:created>
  <dcterms:modified xsi:type="dcterms:W3CDTF">2016-11-01T07:48:00Z</dcterms:modified>
</cp:coreProperties>
</file>