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5E62E9" w:rsidRPr="002169EF" w:rsidTr="00CB402F">
        <w:tc>
          <w:tcPr>
            <w:tcW w:w="5495" w:type="dxa"/>
          </w:tcPr>
          <w:p w:rsidR="005E62E9" w:rsidRPr="002169EF" w:rsidRDefault="005E62E9" w:rsidP="00CB402F">
            <w:pPr>
              <w:tabs>
                <w:tab w:val="left" w:pos="-722"/>
                <w:tab w:val="left" w:pos="6946"/>
              </w:tabs>
              <w:suppressAutoHyphens/>
              <w:spacing w:after="120" w:line="252" w:lineRule="auto"/>
              <w:rPr>
                <w:rFonts w:ascii="Verdana" w:hAnsi="Verdana"/>
                <w:b/>
                <w:bCs/>
                <w:sz w:val="20"/>
                <w:szCs w:val="20"/>
              </w:rPr>
            </w:pPr>
            <w:r w:rsidRPr="002169EF">
              <w:rPr>
                <w:rFonts w:ascii="Verdana" w:hAnsi="Verdana"/>
                <w:b/>
                <w:bCs/>
                <w:sz w:val="20"/>
                <w:szCs w:val="20"/>
              </w:rPr>
              <w:t>World Meteorological Organization</w:t>
            </w:r>
          </w:p>
        </w:tc>
        <w:tc>
          <w:tcPr>
            <w:tcW w:w="4536" w:type="dxa"/>
            <w:gridSpan w:val="2"/>
          </w:tcPr>
          <w:p w:rsidR="005E62E9" w:rsidRPr="002169EF" w:rsidRDefault="004B4533" w:rsidP="001720D7">
            <w:pPr>
              <w:jc w:val="right"/>
              <w:rPr>
                <w:rFonts w:ascii="Verdana" w:hAnsi="Verdana"/>
                <w:b/>
                <w:bCs/>
                <w:sz w:val="20"/>
                <w:szCs w:val="20"/>
                <w:lang w:val="en-US"/>
              </w:rPr>
            </w:pPr>
            <w:proofErr w:type="spellStart"/>
            <w:r w:rsidRPr="002169EF">
              <w:rPr>
                <w:rFonts w:ascii="Verdana" w:hAnsi="Verdana"/>
                <w:b/>
                <w:bCs/>
                <w:sz w:val="20"/>
                <w:szCs w:val="20"/>
                <w:lang w:val="en-US"/>
              </w:rPr>
              <w:t>CAeM</w:t>
            </w:r>
            <w:proofErr w:type="spellEnd"/>
            <w:r w:rsidRPr="002169EF">
              <w:rPr>
                <w:rFonts w:ascii="Verdana" w:hAnsi="Verdana"/>
                <w:b/>
                <w:bCs/>
                <w:sz w:val="20"/>
                <w:szCs w:val="20"/>
                <w:lang w:val="en-US"/>
              </w:rPr>
              <w:t>-MG/201</w:t>
            </w:r>
            <w:r w:rsidR="009060EC">
              <w:rPr>
                <w:rFonts w:ascii="Verdana" w:hAnsi="Verdana"/>
                <w:b/>
                <w:bCs/>
                <w:sz w:val="20"/>
                <w:szCs w:val="20"/>
                <w:lang w:val="en-US"/>
              </w:rPr>
              <w:t>6</w:t>
            </w:r>
            <w:r w:rsidR="005E62E9" w:rsidRPr="002169EF">
              <w:rPr>
                <w:rFonts w:ascii="Verdana" w:hAnsi="Verdana"/>
                <w:b/>
                <w:bCs/>
                <w:sz w:val="20"/>
                <w:szCs w:val="20"/>
                <w:lang w:val="en-US"/>
              </w:rPr>
              <w:t>/</w:t>
            </w:r>
            <w:r w:rsidR="00360B26">
              <w:rPr>
                <w:rFonts w:ascii="Verdana" w:hAnsi="Verdana"/>
                <w:b/>
                <w:bCs/>
                <w:sz w:val="20"/>
                <w:szCs w:val="20"/>
                <w:lang w:val="en-US"/>
              </w:rPr>
              <w:t>INF</w:t>
            </w:r>
            <w:r w:rsidR="001C7D49">
              <w:rPr>
                <w:rFonts w:ascii="Verdana" w:hAnsi="Verdana"/>
                <w:b/>
                <w:bCs/>
                <w:sz w:val="20"/>
                <w:szCs w:val="20"/>
                <w:lang w:val="en-US"/>
              </w:rPr>
              <w:t>.</w:t>
            </w:r>
            <w:r w:rsidR="00360B26">
              <w:rPr>
                <w:rFonts w:ascii="Verdana" w:hAnsi="Verdana"/>
                <w:b/>
                <w:bCs/>
                <w:sz w:val="20"/>
                <w:szCs w:val="20"/>
                <w:lang w:val="en-US"/>
              </w:rPr>
              <w:t xml:space="preserve"> </w:t>
            </w:r>
            <w:r w:rsidR="001720D7">
              <w:rPr>
                <w:rFonts w:ascii="Verdana" w:hAnsi="Verdana"/>
                <w:b/>
                <w:bCs/>
                <w:sz w:val="20"/>
                <w:szCs w:val="20"/>
                <w:lang w:val="en-US"/>
              </w:rPr>
              <w:t>1</w:t>
            </w:r>
          </w:p>
        </w:tc>
      </w:tr>
      <w:tr w:rsidR="005E62E9" w:rsidRPr="002169EF" w:rsidTr="004B4533">
        <w:tc>
          <w:tcPr>
            <w:tcW w:w="5495" w:type="dxa"/>
            <w:vMerge w:val="restart"/>
          </w:tcPr>
          <w:p w:rsidR="004B4533" w:rsidRPr="002169EF" w:rsidRDefault="004B4533"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5E62E9" w:rsidRPr="002169EF" w:rsidRDefault="005E62E9"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A1293D" w:rsidP="00D36CBB">
            <w:pPr>
              <w:spacing w:before="60"/>
              <w:jc w:val="right"/>
              <w:rPr>
                <w:rFonts w:ascii="Verdana" w:hAnsi="Verdana"/>
                <w:sz w:val="20"/>
                <w:szCs w:val="20"/>
              </w:rPr>
            </w:pPr>
            <w:r>
              <w:rPr>
                <w:rFonts w:ascii="Verdana" w:hAnsi="Verdana"/>
                <w:sz w:val="20"/>
                <w:szCs w:val="20"/>
              </w:rPr>
              <w:t>31</w:t>
            </w:r>
            <w:r w:rsidR="004B4533" w:rsidRPr="002169EF">
              <w:rPr>
                <w:rFonts w:ascii="Verdana" w:hAnsi="Verdana"/>
                <w:sz w:val="20"/>
                <w:szCs w:val="20"/>
              </w:rPr>
              <w:t>.</w:t>
            </w:r>
            <w:r w:rsidR="002169EF" w:rsidRPr="002169EF">
              <w:rPr>
                <w:rFonts w:ascii="Verdana" w:hAnsi="Verdana"/>
                <w:sz w:val="20"/>
                <w:szCs w:val="20"/>
              </w:rPr>
              <w:t>X</w:t>
            </w:r>
            <w:r w:rsidR="004B4533" w:rsidRPr="002169EF">
              <w:rPr>
                <w:rFonts w:ascii="Verdana" w:hAnsi="Verdana"/>
                <w:sz w:val="20"/>
                <w:szCs w:val="20"/>
              </w:rPr>
              <w:t>.201</w:t>
            </w:r>
            <w:r w:rsidR="002169EF" w:rsidRPr="002169EF">
              <w:rPr>
                <w:rFonts w:ascii="Verdana" w:hAnsi="Verdana"/>
                <w:sz w:val="20"/>
                <w:szCs w:val="20"/>
              </w:rPr>
              <w:t>6</w:t>
            </w:r>
          </w:p>
        </w:tc>
      </w:tr>
      <w:tr w:rsidR="005E62E9" w:rsidRPr="002169EF" w:rsidTr="004B4533">
        <w:tc>
          <w:tcPr>
            <w:tcW w:w="5495" w:type="dxa"/>
            <w:vMerge/>
          </w:tcPr>
          <w:p w:rsidR="005E62E9" w:rsidRPr="002169EF" w:rsidRDefault="005E62E9" w:rsidP="00CB402F">
            <w:pPr>
              <w:pStyle w:val="WMOBodyText"/>
              <w:rPr>
                <w:rFonts w:ascii="Verdana" w:hAnsi="Verdana"/>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5E62E9" w:rsidP="00CB402F">
            <w:pPr>
              <w:spacing w:before="60"/>
              <w:jc w:val="right"/>
              <w:rPr>
                <w:rFonts w:ascii="Verdana" w:hAnsi="Verdana"/>
                <w:sz w:val="20"/>
                <w:szCs w:val="20"/>
              </w:rPr>
            </w:pPr>
          </w:p>
        </w:tc>
      </w:tr>
      <w:tr w:rsidR="005E62E9" w:rsidRPr="002169EF" w:rsidTr="004B4533">
        <w:tc>
          <w:tcPr>
            <w:tcW w:w="5495" w:type="dxa"/>
            <w:vMerge w:val="restart"/>
            <w:tcBorders>
              <w:bottom w:val="single" w:sz="4" w:space="0" w:color="auto"/>
            </w:tcBorders>
            <w:vAlign w:val="center"/>
          </w:tcPr>
          <w:p w:rsidR="005E62E9" w:rsidRPr="002169EF" w:rsidRDefault="004B4533" w:rsidP="00CB402F">
            <w:pPr>
              <w:tabs>
                <w:tab w:val="left" w:pos="1140"/>
              </w:tabs>
              <w:spacing w:before="120"/>
              <w:rPr>
                <w:rFonts w:ascii="Verdana" w:hAnsi="Verdana"/>
                <w:b/>
                <w:bCs/>
                <w:sz w:val="20"/>
                <w:szCs w:val="20"/>
              </w:rPr>
            </w:pPr>
            <w:r w:rsidRPr="002169EF">
              <w:rPr>
                <w:rFonts w:ascii="Verdana" w:hAnsi="Verdana"/>
                <w:b/>
                <w:bCs/>
                <w:sz w:val="20"/>
                <w:szCs w:val="20"/>
              </w:rPr>
              <w:t>MANAGEMENT GROUP</w:t>
            </w:r>
            <w:r w:rsidR="00CF01A8">
              <w:rPr>
                <w:rFonts w:ascii="Verdana" w:hAnsi="Verdana"/>
                <w:b/>
                <w:bCs/>
                <w:sz w:val="20"/>
                <w:szCs w:val="20"/>
              </w:rPr>
              <w:t xml:space="preserve"> 2016</w:t>
            </w:r>
          </w:p>
          <w:p w:rsidR="004B4533" w:rsidRPr="002169EF" w:rsidRDefault="004B4533" w:rsidP="00CB402F">
            <w:pPr>
              <w:ind w:right="-455"/>
              <w:rPr>
                <w:rFonts w:ascii="Verdana" w:hAnsi="Verdana"/>
                <w:snapToGrid w:val="0"/>
                <w:sz w:val="20"/>
                <w:szCs w:val="20"/>
              </w:rPr>
            </w:pPr>
          </w:p>
          <w:p w:rsidR="005E62E9" w:rsidRPr="002169EF" w:rsidRDefault="002169EF" w:rsidP="00CB402F">
            <w:pPr>
              <w:ind w:right="-455"/>
              <w:rPr>
                <w:rFonts w:ascii="Verdana" w:hAnsi="Verdana"/>
                <w:snapToGrid w:val="0"/>
                <w:sz w:val="20"/>
                <w:szCs w:val="20"/>
              </w:rPr>
            </w:pPr>
            <w:r w:rsidRPr="002169EF">
              <w:rPr>
                <w:rFonts w:ascii="Verdana" w:hAnsi="Verdana"/>
                <w:snapToGrid w:val="0"/>
                <w:sz w:val="20"/>
                <w:szCs w:val="20"/>
              </w:rPr>
              <w:t>Hall (Innsbruck), Austria</w:t>
            </w:r>
          </w:p>
          <w:p w:rsidR="004B4533" w:rsidRPr="002169EF" w:rsidRDefault="002169EF" w:rsidP="00CB402F">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071F24" w:rsidP="001720D7">
            <w:pPr>
              <w:spacing w:before="60"/>
              <w:jc w:val="right"/>
              <w:rPr>
                <w:rFonts w:ascii="Verdana" w:hAnsi="Verdana"/>
                <w:sz w:val="20"/>
                <w:szCs w:val="20"/>
              </w:rPr>
            </w:pPr>
            <w:r w:rsidRPr="002169EF">
              <w:rPr>
                <w:rFonts w:ascii="Verdana" w:hAnsi="Verdana"/>
                <w:sz w:val="20"/>
                <w:szCs w:val="20"/>
              </w:rPr>
              <w:t>ITEM</w:t>
            </w:r>
            <w:r w:rsidR="006120E2" w:rsidRPr="002169EF">
              <w:rPr>
                <w:rFonts w:ascii="Verdana" w:hAnsi="Verdana"/>
                <w:sz w:val="20"/>
                <w:szCs w:val="20"/>
              </w:rPr>
              <w:t xml:space="preserve"> </w:t>
            </w:r>
            <w:r w:rsidR="001720D7">
              <w:rPr>
                <w:rFonts w:ascii="Verdana" w:hAnsi="Verdana"/>
                <w:sz w:val="20"/>
                <w:szCs w:val="20"/>
              </w:rPr>
              <w:t>5.3</w:t>
            </w:r>
          </w:p>
        </w:tc>
      </w:tr>
      <w:tr w:rsidR="005E62E9" w:rsidRPr="002169EF" w:rsidTr="004B4533">
        <w:tc>
          <w:tcPr>
            <w:tcW w:w="5495" w:type="dxa"/>
            <w:vMerge/>
            <w:tcBorders>
              <w:bottom w:val="single" w:sz="4" w:space="0" w:color="auto"/>
            </w:tcBorders>
          </w:tcPr>
          <w:p w:rsidR="005E62E9" w:rsidRPr="002169EF" w:rsidRDefault="005E62E9" w:rsidP="00CB402F">
            <w:pPr>
              <w:rPr>
                <w:rFonts w:ascii="Verdana" w:hAnsi="Verdana"/>
                <w:sz w:val="20"/>
                <w:szCs w:val="20"/>
              </w:rPr>
            </w:pPr>
          </w:p>
        </w:tc>
        <w:tc>
          <w:tcPr>
            <w:tcW w:w="2835" w:type="dxa"/>
            <w:tcBorders>
              <w:bottom w:val="single" w:sz="4" w:space="0" w:color="auto"/>
            </w:tcBorders>
            <w:vAlign w:val="center"/>
          </w:tcPr>
          <w:p w:rsidR="005E62E9" w:rsidRPr="002169EF" w:rsidRDefault="005E62E9" w:rsidP="00CB402F">
            <w:pPr>
              <w:jc w:val="right"/>
              <w:rPr>
                <w:rFonts w:ascii="Verdana" w:hAnsi="Verdana"/>
                <w:sz w:val="20"/>
                <w:szCs w:val="20"/>
              </w:rPr>
            </w:pPr>
          </w:p>
        </w:tc>
        <w:tc>
          <w:tcPr>
            <w:tcW w:w="1701" w:type="dxa"/>
            <w:tcBorders>
              <w:bottom w:val="single" w:sz="4" w:space="0" w:color="auto"/>
            </w:tcBorders>
            <w:vAlign w:val="center"/>
          </w:tcPr>
          <w:p w:rsidR="004B4533" w:rsidRPr="002169EF" w:rsidRDefault="004B4533" w:rsidP="00CB402F">
            <w:pPr>
              <w:jc w:val="right"/>
              <w:rPr>
                <w:rFonts w:ascii="Verdana" w:hAnsi="Verdana"/>
                <w:sz w:val="20"/>
                <w:szCs w:val="20"/>
              </w:rPr>
            </w:pPr>
          </w:p>
          <w:p w:rsidR="004B4533" w:rsidRPr="002169EF" w:rsidRDefault="004B4533" w:rsidP="00CB402F">
            <w:pPr>
              <w:jc w:val="right"/>
              <w:rPr>
                <w:rFonts w:ascii="Verdana" w:hAnsi="Verdana"/>
                <w:sz w:val="20"/>
                <w:szCs w:val="20"/>
              </w:rPr>
            </w:pPr>
          </w:p>
          <w:p w:rsidR="005E62E9" w:rsidRPr="002169EF" w:rsidRDefault="004B4533" w:rsidP="00CB402F">
            <w:pPr>
              <w:jc w:val="right"/>
              <w:rPr>
                <w:rFonts w:ascii="Verdana" w:hAnsi="Verdana"/>
                <w:b/>
                <w:sz w:val="20"/>
                <w:szCs w:val="20"/>
              </w:rPr>
            </w:pPr>
            <w:r w:rsidRPr="002169EF">
              <w:rPr>
                <w:rFonts w:ascii="Verdana" w:hAnsi="Verdana"/>
                <w:sz w:val="20"/>
                <w:szCs w:val="20"/>
              </w:rPr>
              <w:t xml:space="preserve">English only </w:t>
            </w:r>
          </w:p>
        </w:tc>
      </w:tr>
    </w:tbl>
    <w:p w:rsidR="00613C50" w:rsidRPr="002169EF" w:rsidRDefault="00613C50">
      <w:pPr>
        <w:rPr>
          <w:rFonts w:ascii="Verdana" w:hAnsi="Verdana"/>
          <w:sz w:val="20"/>
          <w:szCs w:val="20"/>
        </w:rPr>
      </w:pPr>
    </w:p>
    <w:p w:rsidR="00613C50" w:rsidRPr="002169EF" w:rsidRDefault="00613C50">
      <w:pPr>
        <w:rPr>
          <w:rFonts w:ascii="Verdana" w:hAnsi="Verdana"/>
          <w:sz w:val="20"/>
          <w:szCs w:val="20"/>
        </w:rPr>
      </w:pPr>
    </w:p>
    <w:p w:rsidR="00826DAF" w:rsidRPr="002169EF" w:rsidRDefault="00826DAF">
      <w:pPr>
        <w:rPr>
          <w:rFonts w:ascii="Verdana" w:hAnsi="Verdana"/>
          <w:sz w:val="20"/>
          <w:szCs w:val="20"/>
        </w:rPr>
      </w:pPr>
    </w:p>
    <w:p w:rsidR="00826DAF" w:rsidRPr="002169EF" w:rsidRDefault="00826DAF">
      <w:pPr>
        <w:rPr>
          <w:rFonts w:ascii="Verdana" w:hAnsi="Verdana"/>
          <w:sz w:val="20"/>
          <w:szCs w:val="20"/>
        </w:rPr>
      </w:pPr>
    </w:p>
    <w:p w:rsidR="00613C50" w:rsidRPr="002169EF" w:rsidRDefault="001720D7" w:rsidP="00E20015">
      <w:pPr>
        <w:jc w:val="center"/>
        <w:rPr>
          <w:rFonts w:ascii="Verdana" w:hAnsi="Verdana"/>
          <w:b/>
          <w:color w:val="000000"/>
          <w:sz w:val="20"/>
          <w:szCs w:val="20"/>
        </w:rPr>
      </w:pPr>
      <w:r>
        <w:rPr>
          <w:rFonts w:ascii="Verdana" w:hAnsi="Verdana"/>
          <w:b/>
          <w:color w:val="000000"/>
          <w:sz w:val="20"/>
          <w:szCs w:val="20"/>
        </w:rPr>
        <w:t>ICAO ACTIVITIES AND COORDINATION NEEDS</w:t>
      </w:r>
    </w:p>
    <w:p w:rsidR="00BF6F78" w:rsidRPr="002169EF" w:rsidRDefault="00BF6F78" w:rsidP="00BF6F78">
      <w:pPr>
        <w:jc w:val="center"/>
        <w:rPr>
          <w:rFonts w:ascii="Verdana" w:hAnsi="Verdana"/>
          <w:sz w:val="20"/>
          <w:szCs w:val="20"/>
        </w:rPr>
      </w:pPr>
    </w:p>
    <w:p w:rsidR="00C85DDA" w:rsidRDefault="001720D7" w:rsidP="001720D7">
      <w:pPr>
        <w:jc w:val="center"/>
        <w:rPr>
          <w:rFonts w:ascii="Verdana" w:hAnsi="Verdana"/>
          <w:sz w:val="20"/>
          <w:szCs w:val="20"/>
        </w:rPr>
      </w:pPr>
      <w:r>
        <w:rPr>
          <w:rFonts w:ascii="Verdana" w:hAnsi="Verdana"/>
          <w:sz w:val="20"/>
          <w:szCs w:val="20"/>
        </w:rPr>
        <w:t>Oth</w:t>
      </w:r>
      <w:r w:rsidR="00C85DDA">
        <w:rPr>
          <w:rFonts w:ascii="Verdana" w:hAnsi="Verdana"/>
          <w:sz w:val="20"/>
          <w:szCs w:val="20"/>
        </w:rPr>
        <w:t xml:space="preserve">er relevant ICAO developments </w:t>
      </w:r>
    </w:p>
    <w:p w:rsidR="00C85DDA" w:rsidRDefault="00C85DDA" w:rsidP="001720D7">
      <w:pPr>
        <w:jc w:val="center"/>
        <w:rPr>
          <w:rFonts w:ascii="Verdana" w:hAnsi="Verdana"/>
          <w:sz w:val="20"/>
          <w:szCs w:val="20"/>
        </w:rPr>
      </w:pPr>
    </w:p>
    <w:p w:rsidR="00826DAF" w:rsidRPr="00C85DDA" w:rsidRDefault="001720D7" w:rsidP="001720D7">
      <w:pPr>
        <w:jc w:val="center"/>
        <w:rPr>
          <w:rFonts w:ascii="Verdana" w:hAnsi="Verdana"/>
          <w:i/>
          <w:iCs/>
          <w:sz w:val="20"/>
          <w:szCs w:val="20"/>
        </w:rPr>
      </w:pPr>
      <w:bookmarkStart w:id="0" w:name="_GoBack"/>
      <w:r w:rsidRPr="00C85DDA">
        <w:rPr>
          <w:rFonts w:ascii="Verdana" w:hAnsi="Verdana"/>
          <w:i/>
          <w:iCs/>
          <w:sz w:val="20"/>
          <w:szCs w:val="20"/>
        </w:rPr>
        <w:t>Working a</w:t>
      </w:r>
      <w:r w:rsidR="00E20015" w:rsidRPr="00C85DDA">
        <w:rPr>
          <w:rFonts w:ascii="Verdana" w:hAnsi="Verdana"/>
          <w:i/>
          <w:iCs/>
          <w:sz w:val="20"/>
          <w:szCs w:val="20"/>
        </w:rPr>
        <w:t>rrangements between ICAO and WMO</w:t>
      </w:r>
    </w:p>
    <w:bookmarkEnd w:id="0"/>
    <w:p w:rsidR="00BF6F78" w:rsidRPr="002169EF" w:rsidRDefault="00BF6F78" w:rsidP="00826DAF">
      <w:pPr>
        <w:jc w:val="center"/>
        <w:rPr>
          <w:rFonts w:ascii="Verdana" w:hAnsi="Verdana"/>
          <w:sz w:val="20"/>
          <w:szCs w:val="20"/>
        </w:rPr>
      </w:pPr>
    </w:p>
    <w:p w:rsidR="00826DAF" w:rsidRPr="002169EF" w:rsidRDefault="00826DAF" w:rsidP="00003FCA">
      <w:pPr>
        <w:jc w:val="center"/>
        <w:rPr>
          <w:rFonts w:ascii="Verdana" w:hAnsi="Verdana"/>
          <w:i/>
          <w:sz w:val="20"/>
          <w:szCs w:val="20"/>
        </w:rPr>
      </w:pPr>
      <w:r w:rsidRPr="002169EF">
        <w:rPr>
          <w:rFonts w:ascii="Verdana" w:hAnsi="Verdana"/>
          <w:i/>
          <w:sz w:val="20"/>
          <w:szCs w:val="20"/>
        </w:rPr>
        <w:t xml:space="preserve">(Submitted by </w:t>
      </w:r>
      <w:r w:rsidR="00003FCA">
        <w:rPr>
          <w:rFonts w:ascii="Verdana" w:hAnsi="Verdana"/>
          <w:i/>
          <w:sz w:val="20"/>
          <w:szCs w:val="20"/>
        </w:rPr>
        <w:t>the WMO Secretariat</w:t>
      </w:r>
      <w:r w:rsidR="00BF6F78" w:rsidRPr="002169EF">
        <w:rPr>
          <w:rFonts w:ascii="Verdana" w:hAnsi="Verdana"/>
          <w:i/>
          <w:sz w:val="20"/>
          <w:szCs w:val="20"/>
        </w:rPr>
        <w:t>)</w:t>
      </w:r>
    </w:p>
    <w:p w:rsidR="00826DAF" w:rsidRPr="002169EF" w:rsidRDefault="00826DAF" w:rsidP="00826DAF">
      <w:pPr>
        <w:jc w:val="center"/>
        <w:rPr>
          <w:rFonts w:ascii="Verdana" w:hAnsi="Verdana"/>
          <w:sz w:val="20"/>
          <w:szCs w:val="20"/>
        </w:rPr>
      </w:pPr>
    </w:p>
    <w:p w:rsidR="00826DAF" w:rsidRPr="002169EF" w:rsidRDefault="00826DAF" w:rsidP="00826DAF">
      <w:pPr>
        <w:jc w:val="center"/>
        <w:rPr>
          <w:rFonts w:ascii="Verdana" w:hAnsi="Verdana"/>
          <w:sz w:val="20"/>
          <w:szCs w:val="20"/>
        </w:rPr>
      </w:pPr>
    </w:p>
    <w:p w:rsidR="00826DAF" w:rsidRPr="002169EF" w:rsidRDefault="00826DAF"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826DAF" w:rsidRPr="002169EF">
        <w:trPr>
          <w:jc w:val="center"/>
        </w:trPr>
        <w:tc>
          <w:tcPr>
            <w:tcW w:w="7203" w:type="dxa"/>
          </w:tcPr>
          <w:p w:rsidR="00826DAF" w:rsidRPr="002169EF" w:rsidRDefault="00826DAF" w:rsidP="00FE3D78">
            <w:pPr>
              <w:suppressAutoHyphens/>
              <w:spacing w:before="90"/>
              <w:jc w:val="both"/>
              <w:rPr>
                <w:rFonts w:ascii="Verdana" w:hAnsi="Verdana" w:cs="Arial"/>
                <w:sz w:val="20"/>
                <w:szCs w:val="20"/>
              </w:rPr>
            </w:pPr>
          </w:p>
          <w:p w:rsidR="00826DAF" w:rsidRPr="002169EF" w:rsidRDefault="00826DAF"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826DAF" w:rsidRPr="002169EF" w:rsidRDefault="00826DAF" w:rsidP="00FE3D78">
            <w:pPr>
              <w:suppressAutoHyphens/>
              <w:jc w:val="center"/>
              <w:rPr>
                <w:rFonts w:ascii="Verdana" w:hAnsi="Verdana" w:cs="Arial"/>
                <w:b/>
                <w:sz w:val="20"/>
                <w:szCs w:val="20"/>
              </w:rPr>
            </w:pPr>
          </w:p>
          <w:p w:rsidR="00826DAF" w:rsidRPr="002169EF" w:rsidRDefault="00826DAF" w:rsidP="00CB3148">
            <w:pPr>
              <w:jc w:val="both"/>
              <w:rPr>
                <w:rFonts w:ascii="Verdana" w:hAnsi="Verdana" w:cs="Arial"/>
                <w:sz w:val="20"/>
                <w:szCs w:val="20"/>
              </w:rPr>
            </w:pPr>
            <w:r w:rsidRPr="002169EF">
              <w:rPr>
                <w:rFonts w:ascii="Verdana" w:hAnsi="Verdana" w:cs="Arial"/>
                <w:sz w:val="20"/>
                <w:szCs w:val="20"/>
              </w:rPr>
              <w:t xml:space="preserve">This document provides </w:t>
            </w:r>
            <w:r w:rsidR="00CB3148">
              <w:rPr>
                <w:rFonts w:ascii="Verdana" w:hAnsi="Verdana" w:cs="Arial"/>
                <w:sz w:val="20"/>
                <w:szCs w:val="20"/>
              </w:rPr>
              <w:t xml:space="preserve">a </w:t>
            </w:r>
            <w:r w:rsidR="00CB3148" w:rsidRPr="00CB3148">
              <w:rPr>
                <w:rFonts w:ascii="Verdana" w:hAnsi="Verdana" w:cs="Arial"/>
                <w:sz w:val="20"/>
                <w:szCs w:val="20"/>
              </w:rPr>
              <w:t>brief update on the status of the review of the working arrangements between ICAO and WMO, as called for by Recommendation 4/1 of the 2014 ICAO Meteorology Divisional Meeting, together with the envisaged next steps</w:t>
            </w:r>
            <w:r w:rsidR="00CB3148">
              <w:rPr>
                <w:rFonts w:ascii="Verdana" w:hAnsi="Verdana" w:cs="Arial"/>
                <w:sz w:val="20"/>
                <w:szCs w:val="20"/>
              </w:rPr>
              <w:t>.</w:t>
            </w:r>
          </w:p>
          <w:p w:rsidR="00826DAF" w:rsidRPr="002169EF" w:rsidRDefault="00826DAF" w:rsidP="00FE3D78">
            <w:pPr>
              <w:rPr>
                <w:rFonts w:ascii="Verdana" w:hAnsi="Verdana" w:cs="Arial"/>
                <w:spacing w:val="-2"/>
                <w:sz w:val="20"/>
                <w:szCs w:val="20"/>
              </w:rPr>
            </w:pPr>
          </w:p>
        </w:tc>
      </w:tr>
    </w:tbl>
    <w:p w:rsidR="00826DAF" w:rsidRPr="002169EF" w:rsidRDefault="00826DAF" w:rsidP="00826DAF">
      <w:pPr>
        <w:suppressAutoHyphens/>
        <w:jc w:val="center"/>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jc w:val="center"/>
        <w:rPr>
          <w:rFonts w:ascii="Verdana" w:hAnsi="Verdana" w:cs="Arial"/>
          <w:b/>
          <w:bCs/>
          <w:sz w:val="20"/>
          <w:szCs w:val="20"/>
        </w:rPr>
      </w:pPr>
      <w:r w:rsidRPr="002169EF">
        <w:rPr>
          <w:rFonts w:ascii="Verdana" w:hAnsi="Verdana" w:cs="Arial"/>
          <w:b/>
          <w:bCs/>
          <w:sz w:val="20"/>
          <w:szCs w:val="20"/>
        </w:rPr>
        <w:t>ACTION PROPOSED</w:t>
      </w:r>
    </w:p>
    <w:p w:rsidR="00826DAF" w:rsidRPr="002169EF" w:rsidRDefault="00826DAF" w:rsidP="00826DAF">
      <w:pPr>
        <w:jc w:val="center"/>
        <w:rPr>
          <w:rFonts w:ascii="Verdana" w:hAnsi="Verdana" w:cs="Arial"/>
          <w:sz w:val="20"/>
          <w:szCs w:val="20"/>
        </w:rPr>
      </w:pPr>
    </w:p>
    <w:p w:rsidR="00A03A9D" w:rsidRPr="002169EF" w:rsidRDefault="00A03A9D" w:rsidP="00360B26">
      <w:pPr>
        <w:pStyle w:val="BodyText"/>
        <w:ind w:firstLine="720"/>
        <w:rPr>
          <w:rFonts w:ascii="Verdana" w:hAnsi="Verdana"/>
          <w:sz w:val="20"/>
          <w:szCs w:val="20"/>
        </w:rPr>
      </w:pPr>
      <w:r w:rsidRPr="002169EF">
        <w:rPr>
          <w:rFonts w:ascii="Verdana" w:hAnsi="Verdana"/>
          <w:sz w:val="20"/>
          <w:szCs w:val="20"/>
        </w:rPr>
        <w:t xml:space="preserve">The Management Group (MG) is invited to </w:t>
      </w:r>
      <w:r w:rsidR="00360B26">
        <w:rPr>
          <w:rFonts w:ascii="Verdana" w:hAnsi="Verdana"/>
          <w:sz w:val="20"/>
          <w:szCs w:val="20"/>
        </w:rPr>
        <w:t>note this information.</w:t>
      </w:r>
    </w:p>
    <w:p w:rsidR="00826DAF" w:rsidRPr="002169EF" w:rsidRDefault="00826DAF" w:rsidP="00A03A9D">
      <w:pPr>
        <w:pStyle w:val="BlockText"/>
        <w:ind w:hanging="1985"/>
        <w:rPr>
          <w:rFonts w:ascii="Verdana" w:hAnsi="Verdana"/>
          <w:sz w:val="20"/>
          <w:szCs w:val="20"/>
        </w:rPr>
      </w:pPr>
    </w:p>
    <w:p w:rsidR="00826DAF" w:rsidRPr="002169EF" w:rsidRDefault="00826DAF" w:rsidP="00826DAF">
      <w:pPr>
        <w:jc w:val="center"/>
        <w:rPr>
          <w:rFonts w:ascii="Verdana" w:hAnsi="Verdana" w:cs="Arial"/>
          <w:sz w:val="20"/>
          <w:szCs w:val="20"/>
        </w:rPr>
      </w:pPr>
      <w:r w:rsidRPr="002169EF">
        <w:rPr>
          <w:rFonts w:ascii="Verdana" w:hAnsi="Verdana" w:cs="Arial"/>
          <w:sz w:val="20"/>
          <w:szCs w:val="20"/>
        </w:rPr>
        <w:t>_______________</w:t>
      </w:r>
    </w:p>
    <w:p w:rsidR="00826DAF" w:rsidRPr="002169EF" w:rsidRDefault="00826DAF"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826DAF" w:rsidRPr="002169EF" w:rsidRDefault="00826DAF" w:rsidP="00A03A9D">
      <w:pPr>
        <w:rPr>
          <w:rFonts w:ascii="Verdana" w:hAnsi="Verdana"/>
          <w:sz w:val="20"/>
          <w:szCs w:val="20"/>
        </w:rPr>
      </w:pPr>
    </w:p>
    <w:p w:rsidR="00E811C6" w:rsidRPr="002169EF" w:rsidRDefault="00E811C6" w:rsidP="00A03A9D">
      <w:pPr>
        <w:rPr>
          <w:rFonts w:ascii="Verdana" w:hAnsi="Verdana"/>
          <w:b/>
          <w:sz w:val="20"/>
          <w:szCs w:val="20"/>
        </w:rPr>
        <w:sectPr w:rsidR="00E811C6" w:rsidRPr="002169EF" w:rsidSect="00B02E5F">
          <w:headerReference w:type="default" r:id="rId8"/>
          <w:pgSz w:w="11907" w:h="16840" w:code="9"/>
          <w:pgMar w:top="851" w:right="1134" w:bottom="680" w:left="1134" w:header="454" w:footer="720" w:gutter="0"/>
          <w:cols w:space="720"/>
          <w:titlePg/>
          <w:docGrid w:linePitch="360"/>
        </w:sectPr>
      </w:pPr>
    </w:p>
    <w:p w:rsidR="00E20015" w:rsidRPr="00720557" w:rsidRDefault="007F4A6B" w:rsidP="00A66FC6">
      <w:pPr>
        <w:pStyle w:val="ListParagraph"/>
        <w:numPr>
          <w:ilvl w:val="0"/>
          <w:numId w:val="5"/>
        </w:numPr>
        <w:ind w:left="0" w:firstLine="0"/>
        <w:jc w:val="both"/>
        <w:rPr>
          <w:rFonts w:ascii="Verdana" w:hAnsi="Verdana"/>
          <w:b/>
          <w:sz w:val="20"/>
          <w:szCs w:val="20"/>
        </w:rPr>
      </w:pPr>
      <w:r>
        <w:rPr>
          <w:rFonts w:ascii="Verdana" w:hAnsi="Verdana"/>
          <w:b/>
          <w:sz w:val="20"/>
          <w:szCs w:val="20"/>
        </w:rPr>
        <w:lastRenderedPageBreak/>
        <w:t>INTRODUCTION</w:t>
      </w:r>
    </w:p>
    <w:p w:rsidR="00E20015" w:rsidRPr="002169EF" w:rsidRDefault="00E20015" w:rsidP="00A66FC6">
      <w:pPr>
        <w:jc w:val="both"/>
        <w:rPr>
          <w:rFonts w:ascii="Verdana" w:hAnsi="Verdana"/>
          <w:b/>
          <w:sz w:val="20"/>
          <w:szCs w:val="20"/>
        </w:rPr>
      </w:pPr>
    </w:p>
    <w:p w:rsidR="007F4A6B" w:rsidRPr="007F4A6B" w:rsidRDefault="001C7D49" w:rsidP="001C7D49">
      <w:pPr>
        <w:pStyle w:val="ListParagraph"/>
        <w:ind w:left="0"/>
        <w:jc w:val="both"/>
        <w:rPr>
          <w:rFonts w:ascii="Verdana" w:hAnsi="Verdana"/>
          <w:bCs/>
          <w:sz w:val="20"/>
          <w:szCs w:val="20"/>
        </w:rPr>
      </w:pPr>
      <w:r>
        <w:rPr>
          <w:rFonts w:ascii="Verdana" w:hAnsi="Verdana"/>
          <w:bCs/>
          <w:sz w:val="20"/>
          <w:szCs w:val="20"/>
        </w:rPr>
        <w:t>1.1</w:t>
      </w:r>
      <w:r>
        <w:rPr>
          <w:rFonts w:ascii="Verdana" w:hAnsi="Verdana"/>
          <w:bCs/>
          <w:sz w:val="20"/>
          <w:szCs w:val="20"/>
        </w:rPr>
        <w:tab/>
      </w:r>
      <w:r w:rsidR="007F4A6B" w:rsidRPr="007F4A6B">
        <w:rPr>
          <w:rFonts w:ascii="Verdana" w:hAnsi="Verdana"/>
          <w:bCs/>
          <w:sz w:val="20"/>
          <w:szCs w:val="20"/>
        </w:rPr>
        <w:t xml:space="preserve">Recommendation 4/1 of </w:t>
      </w:r>
      <w:r w:rsidR="007F4A6B">
        <w:rPr>
          <w:rFonts w:ascii="Verdana" w:hAnsi="Verdana"/>
          <w:bCs/>
          <w:sz w:val="20"/>
          <w:szCs w:val="20"/>
        </w:rPr>
        <w:t xml:space="preserve">the </w:t>
      </w:r>
      <w:r w:rsidR="007F4A6B" w:rsidRPr="00E20015">
        <w:rPr>
          <w:rFonts w:ascii="Verdana" w:hAnsi="Verdana"/>
          <w:bCs/>
          <w:sz w:val="20"/>
          <w:szCs w:val="20"/>
        </w:rPr>
        <w:t>2014 ICAO Meteorology Divisional Meeting (MET/14), held conjointly with the 15</w:t>
      </w:r>
      <w:r w:rsidR="007F4A6B" w:rsidRPr="00E20015">
        <w:rPr>
          <w:rFonts w:ascii="Verdana" w:hAnsi="Verdana"/>
          <w:bCs/>
          <w:sz w:val="20"/>
          <w:szCs w:val="20"/>
          <w:vertAlign w:val="superscript"/>
        </w:rPr>
        <w:t>th</w:t>
      </w:r>
      <w:r w:rsidR="007F4A6B" w:rsidRPr="00E20015">
        <w:rPr>
          <w:rFonts w:ascii="Verdana" w:hAnsi="Verdana"/>
          <w:bCs/>
          <w:sz w:val="20"/>
          <w:szCs w:val="20"/>
        </w:rPr>
        <w:t xml:space="preserve"> Session of the WMO Commission for Aeronautical Meteorology (CAeM-15)</w:t>
      </w:r>
      <w:r w:rsidR="007F4A6B">
        <w:rPr>
          <w:rFonts w:ascii="Verdana" w:hAnsi="Verdana"/>
          <w:bCs/>
          <w:sz w:val="20"/>
          <w:szCs w:val="20"/>
        </w:rPr>
        <w:t xml:space="preserve">, </w:t>
      </w:r>
      <w:r w:rsidR="007F4A6B" w:rsidRPr="007F4A6B">
        <w:rPr>
          <w:rFonts w:ascii="Verdana" w:hAnsi="Verdana"/>
          <w:bCs/>
          <w:sz w:val="20"/>
          <w:szCs w:val="20"/>
        </w:rPr>
        <w:t xml:space="preserve">tasked ICAO and WMO to undertake a review to be completed not later than November 2016 of the </w:t>
      </w:r>
      <w:r w:rsidR="007F4A6B" w:rsidRPr="007F4A6B">
        <w:rPr>
          <w:rFonts w:ascii="Verdana" w:hAnsi="Verdana"/>
          <w:bCs/>
          <w:i/>
          <w:iCs/>
          <w:sz w:val="20"/>
          <w:szCs w:val="20"/>
          <w:lang w:val="en-US"/>
        </w:rPr>
        <w:t xml:space="preserve">Working Arrangements between the International Civil Aviation Organization (ICAO) and the World Meteorological Organization (WMO) </w:t>
      </w:r>
      <w:r w:rsidR="007F4A6B" w:rsidRPr="007F4A6B">
        <w:rPr>
          <w:rFonts w:ascii="Verdana" w:hAnsi="Verdana"/>
          <w:bCs/>
          <w:sz w:val="20"/>
          <w:szCs w:val="20"/>
          <w:lang w:val="en-US"/>
        </w:rPr>
        <w:t xml:space="preserve">(ICAO Doc 7475/WMO-No. 60, Chapter II.3) to ensure that the respective roles and responsibilities as well as the commitments of both organizations are appropriately aligned with the mandates of both organizations taking into consideration evolving technological capabilities and aeronautical requirements. Moreover, upon completion of this review, ICAO and WMO were tasked, as necessary, to develop a proposed amendment to the working arrangements for consideration and approval of the ICAO and WMO governing bodies. </w:t>
      </w:r>
    </w:p>
    <w:p w:rsidR="007F4A6B" w:rsidRPr="007F4A6B" w:rsidRDefault="007F4A6B" w:rsidP="00A66FC6">
      <w:pPr>
        <w:pStyle w:val="ListParagraph"/>
        <w:ind w:left="0"/>
        <w:jc w:val="both"/>
        <w:rPr>
          <w:rFonts w:ascii="Verdana" w:hAnsi="Verdana"/>
          <w:bCs/>
          <w:sz w:val="20"/>
          <w:szCs w:val="20"/>
        </w:rPr>
      </w:pPr>
    </w:p>
    <w:p w:rsidR="007F4A6B" w:rsidRDefault="001C7D49" w:rsidP="001C7D49">
      <w:pPr>
        <w:pStyle w:val="ListParagraph"/>
        <w:ind w:left="0"/>
        <w:jc w:val="both"/>
        <w:rPr>
          <w:rFonts w:ascii="Verdana" w:hAnsi="Verdana"/>
          <w:bCs/>
          <w:sz w:val="20"/>
          <w:szCs w:val="20"/>
        </w:rPr>
      </w:pPr>
      <w:r>
        <w:rPr>
          <w:rFonts w:ascii="Verdana" w:hAnsi="Verdana"/>
          <w:bCs/>
          <w:sz w:val="20"/>
          <w:szCs w:val="20"/>
        </w:rPr>
        <w:t>1.2</w:t>
      </w:r>
      <w:r>
        <w:rPr>
          <w:rFonts w:ascii="Verdana" w:hAnsi="Verdana"/>
          <w:bCs/>
          <w:sz w:val="20"/>
          <w:szCs w:val="20"/>
        </w:rPr>
        <w:tab/>
      </w:r>
      <w:r w:rsidR="007F4A6B" w:rsidRPr="007F4A6B">
        <w:rPr>
          <w:rFonts w:ascii="Verdana" w:hAnsi="Verdana"/>
          <w:bCs/>
          <w:sz w:val="20"/>
          <w:szCs w:val="20"/>
        </w:rPr>
        <w:t xml:space="preserve">In the preamble to Recommendation 4/1 in the MET/14 Final Report, it is worthwhile to note that the review is intended to ensure </w:t>
      </w:r>
      <w:r w:rsidR="007F4A6B" w:rsidRPr="007F4A6B">
        <w:rPr>
          <w:rFonts w:ascii="Verdana" w:hAnsi="Verdana"/>
          <w:bCs/>
          <w:sz w:val="20"/>
          <w:szCs w:val="20"/>
          <w:lang w:val="en-US"/>
        </w:rPr>
        <w:t>that the working arrangements appropriately reflect the respective mandates, governance structures and modes of operation of the two organizations, as well as consideration of the data management policies of both organizations. Furthermore, the review of the working arrangements should in principle be carried out by the Secretariats of the two organizations who could seek assistance, as necessary.</w:t>
      </w:r>
      <w:r w:rsidR="007F4A6B" w:rsidRPr="007F4A6B">
        <w:rPr>
          <w:rFonts w:ascii="Verdana" w:hAnsi="Verdana"/>
          <w:bCs/>
          <w:sz w:val="20"/>
          <w:szCs w:val="20"/>
        </w:rPr>
        <w:t xml:space="preserve"> </w:t>
      </w:r>
    </w:p>
    <w:p w:rsidR="007F4A6B" w:rsidRPr="007F4A6B" w:rsidRDefault="007F4A6B" w:rsidP="00A66FC6">
      <w:pPr>
        <w:pStyle w:val="ListParagraph"/>
        <w:jc w:val="both"/>
        <w:rPr>
          <w:rFonts w:ascii="Verdana" w:hAnsi="Verdana"/>
          <w:bCs/>
          <w:sz w:val="20"/>
          <w:szCs w:val="20"/>
        </w:rPr>
      </w:pPr>
    </w:p>
    <w:p w:rsidR="007F4A6B" w:rsidRPr="007F4A6B" w:rsidRDefault="00A66FC6" w:rsidP="00A66FC6">
      <w:pPr>
        <w:pStyle w:val="ListParagraph"/>
        <w:numPr>
          <w:ilvl w:val="0"/>
          <w:numId w:val="5"/>
        </w:numPr>
        <w:ind w:left="709" w:hanging="709"/>
        <w:jc w:val="both"/>
        <w:rPr>
          <w:rFonts w:ascii="Verdana" w:hAnsi="Verdana"/>
          <w:b/>
          <w:sz w:val="20"/>
          <w:szCs w:val="20"/>
        </w:rPr>
      </w:pPr>
      <w:r>
        <w:rPr>
          <w:rFonts w:ascii="Verdana" w:hAnsi="Verdana"/>
          <w:b/>
          <w:sz w:val="20"/>
          <w:szCs w:val="20"/>
        </w:rPr>
        <w:t>PROGRESS AND</w:t>
      </w:r>
      <w:r w:rsidR="007F4A6B" w:rsidRPr="007F4A6B">
        <w:rPr>
          <w:rFonts w:ascii="Verdana" w:hAnsi="Verdana"/>
          <w:b/>
          <w:sz w:val="20"/>
          <w:szCs w:val="20"/>
        </w:rPr>
        <w:t xml:space="preserve"> NEXT STEPS</w:t>
      </w:r>
    </w:p>
    <w:p w:rsidR="007F4A6B" w:rsidRPr="007F4A6B" w:rsidRDefault="007F4A6B" w:rsidP="00A66FC6">
      <w:pPr>
        <w:pStyle w:val="ListParagraph"/>
        <w:ind w:left="0"/>
        <w:jc w:val="both"/>
        <w:rPr>
          <w:rFonts w:ascii="Verdana" w:hAnsi="Verdana"/>
          <w:bCs/>
          <w:sz w:val="20"/>
          <w:szCs w:val="20"/>
        </w:rPr>
      </w:pPr>
    </w:p>
    <w:p w:rsidR="007F4A6B" w:rsidRDefault="001C7D49" w:rsidP="001C7D49">
      <w:pPr>
        <w:pStyle w:val="ListParagraph"/>
        <w:ind w:left="0"/>
        <w:jc w:val="both"/>
        <w:rPr>
          <w:rFonts w:ascii="Verdana" w:hAnsi="Verdana"/>
          <w:bCs/>
          <w:sz w:val="20"/>
          <w:szCs w:val="20"/>
        </w:rPr>
      </w:pPr>
      <w:r>
        <w:rPr>
          <w:rFonts w:ascii="Verdana" w:hAnsi="Verdana"/>
          <w:bCs/>
          <w:sz w:val="20"/>
          <w:szCs w:val="20"/>
        </w:rPr>
        <w:t>2.1</w:t>
      </w:r>
      <w:r>
        <w:rPr>
          <w:rFonts w:ascii="Verdana" w:hAnsi="Verdana"/>
          <w:bCs/>
          <w:sz w:val="20"/>
          <w:szCs w:val="20"/>
        </w:rPr>
        <w:tab/>
        <w:t>During the co</w:t>
      </w:r>
      <w:r w:rsidRPr="007F4A6B">
        <w:rPr>
          <w:rFonts w:ascii="Verdana" w:hAnsi="Verdana"/>
          <w:bCs/>
          <w:sz w:val="20"/>
          <w:szCs w:val="20"/>
        </w:rPr>
        <w:t>urse</w:t>
      </w:r>
      <w:r w:rsidR="007F4A6B" w:rsidRPr="007F4A6B">
        <w:rPr>
          <w:rFonts w:ascii="Verdana" w:hAnsi="Verdana"/>
          <w:bCs/>
          <w:sz w:val="20"/>
          <w:szCs w:val="20"/>
        </w:rPr>
        <w:t xml:space="preserve"> of 2016</w:t>
      </w:r>
      <w:r>
        <w:rPr>
          <w:rFonts w:ascii="Verdana" w:hAnsi="Verdana"/>
          <w:bCs/>
          <w:sz w:val="20"/>
          <w:szCs w:val="20"/>
        </w:rPr>
        <w:t>,</w:t>
      </w:r>
      <w:r w:rsidR="007F4A6B" w:rsidRPr="007F4A6B">
        <w:rPr>
          <w:rFonts w:ascii="Verdana" w:hAnsi="Verdana"/>
          <w:bCs/>
          <w:sz w:val="20"/>
          <w:szCs w:val="20"/>
        </w:rPr>
        <w:t xml:space="preserve"> the ICAO and WMO Secretariats have commenced their review of the </w:t>
      </w:r>
      <w:r w:rsidR="007F4A6B" w:rsidRPr="007F4A6B">
        <w:rPr>
          <w:rFonts w:ascii="Verdana" w:hAnsi="Verdana"/>
          <w:bCs/>
          <w:sz w:val="20"/>
          <w:szCs w:val="20"/>
          <w:lang w:val="en-US"/>
        </w:rPr>
        <w:t>working arrangements</w:t>
      </w:r>
      <w:r w:rsidR="007F4A6B" w:rsidRPr="007F4A6B">
        <w:rPr>
          <w:rFonts w:ascii="Verdana" w:hAnsi="Verdana"/>
          <w:bCs/>
          <w:sz w:val="20"/>
          <w:szCs w:val="20"/>
        </w:rPr>
        <w:t xml:space="preserve">, within available resources and where other commitments have allowed. </w:t>
      </w:r>
    </w:p>
    <w:p w:rsidR="007F4A6B" w:rsidRPr="007F4A6B" w:rsidRDefault="007F4A6B" w:rsidP="00A66FC6">
      <w:pPr>
        <w:pStyle w:val="ListParagraph"/>
        <w:ind w:left="0"/>
        <w:jc w:val="both"/>
        <w:rPr>
          <w:rFonts w:ascii="Verdana" w:hAnsi="Verdana"/>
          <w:bCs/>
          <w:sz w:val="20"/>
          <w:szCs w:val="20"/>
        </w:rPr>
      </w:pPr>
    </w:p>
    <w:p w:rsidR="007F4A6B" w:rsidRDefault="001C7D49" w:rsidP="001C7D49">
      <w:pPr>
        <w:pStyle w:val="ListParagraph"/>
        <w:ind w:left="0"/>
        <w:jc w:val="both"/>
        <w:rPr>
          <w:rFonts w:ascii="Verdana" w:hAnsi="Verdana"/>
          <w:bCs/>
          <w:sz w:val="20"/>
          <w:szCs w:val="20"/>
        </w:rPr>
      </w:pPr>
      <w:r>
        <w:rPr>
          <w:rFonts w:ascii="Verdana" w:hAnsi="Verdana"/>
          <w:bCs/>
          <w:sz w:val="20"/>
          <w:szCs w:val="20"/>
        </w:rPr>
        <w:t>2.2</w:t>
      </w:r>
      <w:r>
        <w:rPr>
          <w:rFonts w:ascii="Verdana" w:hAnsi="Verdana"/>
          <w:bCs/>
          <w:sz w:val="20"/>
          <w:szCs w:val="20"/>
        </w:rPr>
        <w:tab/>
      </w:r>
      <w:r w:rsidR="007F4A6B" w:rsidRPr="007F4A6B">
        <w:rPr>
          <w:rFonts w:ascii="Verdana" w:hAnsi="Verdana"/>
          <w:bCs/>
          <w:sz w:val="20"/>
          <w:szCs w:val="20"/>
        </w:rPr>
        <w:t xml:space="preserve">In reviewing the current </w:t>
      </w:r>
      <w:r w:rsidR="007F4A6B" w:rsidRPr="007F4A6B">
        <w:rPr>
          <w:rFonts w:ascii="Verdana" w:hAnsi="Verdana"/>
          <w:bCs/>
          <w:sz w:val="20"/>
          <w:szCs w:val="20"/>
          <w:lang w:val="en-US"/>
        </w:rPr>
        <w:t xml:space="preserve">working arrangements </w:t>
      </w:r>
      <w:r w:rsidR="007F4A6B" w:rsidRPr="007F4A6B">
        <w:rPr>
          <w:rFonts w:ascii="Verdana" w:hAnsi="Verdana"/>
          <w:bCs/>
          <w:sz w:val="20"/>
          <w:szCs w:val="20"/>
        </w:rPr>
        <w:t>(second edition, 1963), it has been evident that there is a need to bring them into the 21</w:t>
      </w:r>
      <w:r w:rsidR="007F4A6B" w:rsidRPr="007F4A6B">
        <w:rPr>
          <w:rFonts w:ascii="Verdana" w:hAnsi="Verdana"/>
          <w:bCs/>
          <w:sz w:val="20"/>
          <w:szCs w:val="20"/>
          <w:vertAlign w:val="superscript"/>
        </w:rPr>
        <w:t>st</w:t>
      </w:r>
      <w:r w:rsidR="007F4A6B" w:rsidRPr="007F4A6B">
        <w:rPr>
          <w:rFonts w:ascii="Verdana" w:hAnsi="Verdana"/>
          <w:bCs/>
          <w:sz w:val="20"/>
          <w:szCs w:val="20"/>
        </w:rPr>
        <w:t xml:space="preserve"> century, respecting and introducing modern means of collaboration, coordination and communication, while at the same time respecting and, where necessary, retaining certain traditional notions and exchanges of privileges that are fundamental to the working arrangements and have served the two organizations well over the past fifty years or more. To this end, the secretariats have agreed that the development of an amendment to the working arrangements is both desirable and necessary. </w:t>
      </w:r>
    </w:p>
    <w:p w:rsidR="007F4A6B" w:rsidRPr="007F4A6B" w:rsidRDefault="007F4A6B" w:rsidP="00A66FC6">
      <w:pPr>
        <w:pStyle w:val="ListParagraph"/>
        <w:ind w:left="0"/>
        <w:jc w:val="both"/>
        <w:rPr>
          <w:rFonts w:ascii="Verdana" w:hAnsi="Verdana"/>
          <w:bCs/>
          <w:sz w:val="20"/>
          <w:szCs w:val="20"/>
        </w:rPr>
      </w:pPr>
    </w:p>
    <w:p w:rsidR="007F4A6B" w:rsidRDefault="001C7D49" w:rsidP="001C7D49">
      <w:pPr>
        <w:pStyle w:val="ListParagraph"/>
        <w:ind w:left="0"/>
        <w:jc w:val="both"/>
        <w:rPr>
          <w:rFonts w:ascii="Verdana" w:hAnsi="Verdana"/>
          <w:bCs/>
          <w:sz w:val="20"/>
          <w:szCs w:val="20"/>
        </w:rPr>
      </w:pPr>
      <w:r>
        <w:rPr>
          <w:rFonts w:ascii="Verdana" w:hAnsi="Verdana"/>
          <w:bCs/>
          <w:sz w:val="20"/>
          <w:szCs w:val="20"/>
        </w:rPr>
        <w:t>2.3</w:t>
      </w:r>
      <w:r>
        <w:rPr>
          <w:rFonts w:ascii="Verdana" w:hAnsi="Verdana"/>
          <w:bCs/>
          <w:sz w:val="20"/>
          <w:szCs w:val="20"/>
        </w:rPr>
        <w:tab/>
      </w:r>
      <w:r w:rsidR="007F4A6B" w:rsidRPr="007F4A6B">
        <w:rPr>
          <w:rFonts w:ascii="Verdana" w:hAnsi="Verdana"/>
          <w:bCs/>
          <w:sz w:val="20"/>
          <w:szCs w:val="20"/>
        </w:rPr>
        <w:t>In addition, in undertaking the review of the working arrangements and determining how to appropriately (re)construct a new edition, the Secretariats have drawn inspiration from other working arrangements (or equivalent) that exist between ICAO and WMO with other specialized agencies of the United Nations, both in terms of their construct and content.</w:t>
      </w:r>
    </w:p>
    <w:p w:rsidR="007F4A6B" w:rsidRPr="007F4A6B" w:rsidRDefault="007F4A6B" w:rsidP="00A66FC6">
      <w:pPr>
        <w:pStyle w:val="ListParagraph"/>
        <w:ind w:left="0"/>
        <w:jc w:val="both"/>
        <w:rPr>
          <w:rFonts w:ascii="Verdana" w:hAnsi="Verdana"/>
          <w:bCs/>
          <w:sz w:val="20"/>
          <w:szCs w:val="20"/>
        </w:rPr>
      </w:pPr>
    </w:p>
    <w:p w:rsidR="007F4A6B" w:rsidRDefault="001C7D49" w:rsidP="001C7D49">
      <w:pPr>
        <w:pStyle w:val="ListParagraph"/>
        <w:ind w:left="0"/>
        <w:jc w:val="both"/>
        <w:rPr>
          <w:rFonts w:ascii="Verdana" w:hAnsi="Verdana"/>
          <w:bCs/>
          <w:sz w:val="20"/>
          <w:szCs w:val="20"/>
        </w:rPr>
      </w:pPr>
      <w:r>
        <w:rPr>
          <w:rFonts w:ascii="Verdana" w:hAnsi="Verdana"/>
          <w:bCs/>
          <w:sz w:val="20"/>
          <w:szCs w:val="20"/>
        </w:rPr>
        <w:t>2.4</w:t>
      </w:r>
      <w:r>
        <w:rPr>
          <w:rFonts w:ascii="Verdana" w:hAnsi="Verdana"/>
          <w:bCs/>
          <w:sz w:val="20"/>
          <w:szCs w:val="20"/>
        </w:rPr>
        <w:tab/>
        <w:t>A</w:t>
      </w:r>
      <w:r w:rsidR="007F4A6B" w:rsidRPr="007F4A6B">
        <w:rPr>
          <w:rFonts w:ascii="Verdana" w:hAnsi="Verdana"/>
          <w:bCs/>
          <w:sz w:val="20"/>
          <w:szCs w:val="20"/>
        </w:rPr>
        <w:t xml:space="preserve"> straw man of the new edition of the working arrangements is presented </w:t>
      </w:r>
      <w:r>
        <w:rPr>
          <w:rFonts w:ascii="Verdana" w:hAnsi="Verdana"/>
          <w:bCs/>
          <w:sz w:val="20"/>
          <w:szCs w:val="20"/>
        </w:rPr>
        <w:t>in</w:t>
      </w:r>
      <w:r w:rsidR="007F4A6B" w:rsidRPr="007F4A6B">
        <w:rPr>
          <w:rFonts w:ascii="Verdana" w:hAnsi="Verdana"/>
          <w:bCs/>
          <w:sz w:val="20"/>
          <w:szCs w:val="20"/>
        </w:rPr>
        <w:t xml:space="preserve"> </w:t>
      </w:r>
      <w:r w:rsidR="00A66FC6" w:rsidRPr="001C7D49">
        <w:rPr>
          <w:rFonts w:ascii="Verdana" w:hAnsi="Verdana"/>
          <w:sz w:val="20"/>
          <w:szCs w:val="20"/>
        </w:rPr>
        <w:t>Annex</w:t>
      </w:r>
      <w:r w:rsidR="00A66FC6">
        <w:rPr>
          <w:rFonts w:ascii="Verdana" w:hAnsi="Verdana"/>
          <w:b/>
          <w:bCs/>
          <w:sz w:val="20"/>
          <w:szCs w:val="20"/>
        </w:rPr>
        <w:t xml:space="preserve"> </w:t>
      </w:r>
      <w:r w:rsidR="007F4A6B" w:rsidRPr="007F4A6B">
        <w:rPr>
          <w:rFonts w:ascii="Verdana" w:hAnsi="Verdana"/>
          <w:bCs/>
          <w:sz w:val="20"/>
          <w:szCs w:val="20"/>
        </w:rPr>
        <w:t>to this paper</w:t>
      </w:r>
      <w:r w:rsidR="00A66FC6">
        <w:rPr>
          <w:rFonts w:ascii="Verdana" w:hAnsi="Verdana"/>
          <w:bCs/>
          <w:sz w:val="20"/>
          <w:szCs w:val="20"/>
        </w:rPr>
        <w:t xml:space="preserve"> as information only</w:t>
      </w:r>
      <w:r w:rsidR="007F4A6B" w:rsidRPr="007F4A6B">
        <w:rPr>
          <w:rFonts w:ascii="Verdana" w:hAnsi="Verdana"/>
          <w:bCs/>
          <w:sz w:val="20"/>
          <w:szCs w:val="20"/>
        </w:rPr>
        <w:t xml:space="preserve">. It is worthwhile to note that the proposed amendment (new edition) to the working arrangements will represent a major revision in construct and a moderate revision in content compared with the current (second) edition. </w:t>
      </w:r>
    </w:p>
    <w:p w:rsidR="007F4A6B" w:rsidRPr="007F4A6B" w:rsidRDefault="007F4A6B" w:rsidP="00A66FC6">
      <w:pPr>
        <w:pStyle w:val="ListParagraph"/>
        <w:ind w:left="0"/>
        <w:jc w:val="both"/>
        <w:rPr>
          <w:rFonts w:ascii="Verdana" w:hAnsi="Verdana"/>
          <w:bCs/>
          <w:sz w:val="20"/>
          <w:szCs w:val="20"/>
        </w:rPr>
      </w:pPr>
    </w:p>
    <w:p w:rsidR="001C7D49" w:rsidRDefault="001C7D49" w:rsidP="001C7D49">
      <w:pPr>
        <w:pStyle w:val="ListParagraph"/>
        <w:ind w:left="0"/>
        <w:jc w:val="both"/>
        <w:rPr>
          <w:rFonts w:ascii="Verdana" w:hAnsi="Verdana"/>
          <w:bCs/>
          <w:sz w:val="20"/>
          <w:szCs w:val="20"/>
        </w:rPr>
      </w:pPr>
      <w:r>
        <w:rPr>
          <w:rFonts w:ascii="Verdana" w:hAnsi="Verdana"/>
          <w:bCs/>
          <w:sz w:val="20"/>
          <w:szCs w:val="20"/>
        </w:rPr>
        <w:t>2.5</w:t>
      </w:r>
      <w:r>
        <w:rPr>
          <w:rFonts w:ascii="Verdana" w:hAnsi="Verdana"/>
          <w:bCs/>
          <w:sz w:val="20"/>
          <w:szCs w:val="20"/>
        </w:rPr>
        <w:tab/>
      </w:r>
      <w:r w:rsidR="007F4A6B" w:rsidRPr="007F4A6B">
        <w:rPr>
          <w:rFonts w:ascii="Verdana" w:hAnsi="Verdana"/>
          <w:bCs/>
          <w:sz w:val="20"/>
          <w:szCs w:val="20"/>
        </w:rPr>
        <w:t>The development of new or improved content for each chapter of the working arrangements is already at an advanced stage and, during the course of 2017, the ICAO and WMO Secretariats intend to finalize the proposed amendment and to commence the task of seeking the consideration and approval of the respective governi</w:t>
      </w:r>
      <w:r>
        <w:rPr>
          <w:rFonts w:ascii="Verdana" w:hAnsi="Verdana"/>
          <w:bCs/>
          <w:sz w:val="20"/>
          <w:szCs w:val="20"/>
        </w:rPr>
        <w:t>ng bodies of each organization.</w:t>
      </w:r>
    </w:p>
    <w:p w:rsidR="001C7D49" w:rsidRDefault="001C7D49" w:rsidP="001C7D49">
      <w:pPr>
        <w:pStyle w:val="ListParagraph"/>
        <w:ind w:left="0"/>
        <w:jc w:val="both"/>
        <w:rPr>
          <w:rFonts w:ascii="Verdana" w:hAnsi="Verdana"/>
          <w:bCs/>
          <w:sz w:val="20"/>
          <w:szCs w:val="20"/>
        </w:rPr>
      </w:pPr>
    </w:p>
    <w:p w:rsidR="001C7D49" w:rsidRDefault="001C7D49" w:rsidP="001C7D49">
      <w:pPr>
        <w:pStyle w:val="ListParagraph"/>
        <w:ind w:left="0"/>
        <w:jc w:val="both"/>
        <w:rPr>
          <w:rFonts w:ascii="Verdana" w:hAnsi="Verdana"/>
          <w:bCs/>
          <w:sz w:val="20"/>
          <w:szCs w:val="20"/>
        </w:rPr>
      </w:pPr>
    </w:p>
    <w:p w:rsidR="001C7D49" w:rsidRDefault="001C7D49" w:rsidP="001C7D49">
      <w:pPr>
        <w:pStyle w:val="ListParagraph"/>
        <w:ind w:left="0"/>
        <w:jc w:val="center"/>
        <w:rPr>
          <w:rFonts w:ascii="Verdana" w:hAnsi="Verdana"/>
          <w:bCs/>
          <w:sz w:val="20"/>
          <w:szCs w:val="20"/>
        </w:rPr>
      </w:pPr>
      <w:r>
        <w:rPr>
          <w:rFonts w:ascii="Verdana" w:hAnsi="Verdana"/>
          <w:bCs/>
          <w:sz w:val="20"/>
          <w:szCs w:val="20"/>
        </w:rPr>
        <w:t>_____</w:t>
      </w:r>
    </w:p>
    <w:p w:rsidR="001C7D49" w:rsidRDefault="001C7D49" w:rsidP="001C7D49">
      <w:pPr>
        <w:pStyle w:val="ListParagraph"/>
        <w:ind w:left="0"/>
        <w:rPr>
          <w:rFonts w:ascii="Verdana" w:hAnsi="Verdana"/>
          <w:bCs/>
          <w:sz w:val="20"/>
          <w:szCs w:val="20"/>
        </w:rPr>
        <w:sectPr w:rsidR="001C7D49" w:rsidSect="001C7D49">
          <w:headerReference w:type="first" r:id="rId9"/>
          <w:pgSz w:w="11907" w:h="16840" w:code="9"/>
          <w:pgMar w:top="1107" w:right="1418" w:bottom="1418" w:left="1418" w:header="454" w:footer="720" w:gutter="0"/>
          <w:cols w:space="720"/>
          <w:titlePg/>
          <w:docGrid w:linePitch="360"/>
        </w:sectPr>
      </w:pPr>
    </w:p>
    <w:p w:rsidR="001C7D49" w:rsidRDefault="001C7D49" w:rsidP="00A66FC6">
      <w:pPr>
        <w:jc w:val="center"/>
        <w:rPr>
          <w:rFonts w:ascii="Verdana" w:hAnsi="Verdana"/>
          <w:b/>
          <w:bCs/>
          <w:sz w:val="20"/>
          <w:szCs w:val="20"/>
        </w:rPr>
      </w:pPr>
    </w:p>
    <w:p w:rsidR="00A66FC6" w:rsidRPr="00A66FC6" w:rsidRDefault="00A66FC6" w:rsidP="00A66FC6">
      <w:pPr>
        <w:jc w:val="center"/>
        <w:rPr>
          <w:rFonts w:ascii="Verdana" w:hAnsi="Verdana"/>
          <w:b/>
          <w:bCs/>
          <w:sz w:val="20"/>
          <w:szCs w:val="20"/>
        </w:rPr>
      </w:pPr>
      <w:r w:rsidRPr="00A66FC6">
        <w:rPr>
          <w:rFonts w:ascii="Verdana" w:hAnsi="Verdana"/>
          <w:b/>
          <w:bCs/>
          <w:sz w:val="20"/>
          <w:szCs w:val="20"/>
        </w:rPr>
        <w:t>Straw man of the proposed amendment (new edition) of the</w:t>
      </w:r>
    </w:p>
    <w:p w:rsidR="00A66FC6" w:rsidRPr="00A66FC6" w:rsidRDefault="00A66FC6" w:rsidP="00A66FC6">
      <w:pPr>
        <w:jc w:val="center"/>
        <w:rPr>
          <w:rFonts w:ascii="Verdana" w:hAnsi="Verdana"/>
          <w:b/>
          <w:bCs/>
          <w:sz w:val="20"/>
          <w:szCs w:val="20"/>
        </w:rPr>
      </w:pPr>
      <w:r w:rsidRPr="00A66FC6">
        <w:rPr>
          <w:rFonts w:ascii="Verdana" w:hAnsi="Verdana"/>
          <w:b/>
          <w:bCs/>
          <w:sz w:val="20"/>
          <w:szCs w:val="20"/>
        </w:rPr>
        <w:t>working arrangements between ICAO and WMO</w:t>
      </w:r>
    </w:p>
    <w:p w:rsidR="00A66FC6" w:rsidRPr="00A66FC6" w:rsidRDefault="00A66FC6" w:rsidP="00A66FC6">
      <w:pPr>
        <w:rPr>
          <w:rFonts w:ascii="Verdana" w:hAnsi="Verdana"/>
          <w:b/>
          <w:bCs/>
          <w:sz w:val="20"/>
          <w:szCs w:val="20"/>
        </w:rPr>
      </w:pPr>
    </w:p>
    <w:p w:rsidR="00A66FC6" w:rsidRDefault="00A66FC6" w:rsidP="00A66FC6">
      <w:pPr>
        <w:rPr>
          <w:rFonts w:ascii="Verdana" w:hAnsi="Verdana"/>
          <w:bCs/>
          <w:i/>
          <w:iCs/>
          <w:sz w:val="20"/>
          <w:szCs w:val="20"/>
        </w:rPr>
      </w:pPr>
      <w:r w:rsidRPr="00A66FC6">
        <w:rPr>
          <w:rFonts w:ascii="Verdana" w:hAnsi="Verdana"/>
          <w:bCs/>
          <w:i/>
          <w:iCs/>
          <w:sz w:val="20"/>
          <w:szCs w:val="20"/>
        </w:rPr>
        <w:t>Note. — The chapters, titles and content descriptions indicated below are subject to change.</w:t>
      </w:r>
    </w:p>
    <w:p w:rsidR="00A66FC6" w:rsidRPr="00A66FC6" w:rsidRDefault="00A66FC6" w:rsidP="00A66FC6">
      <w:pPr>
        <w:rPr>
          <w:rFonts w:ascii="Verdana" w:hAnsi="Verdana"/>
          <w:bCs/>
          <w:i/>
          <w:iCs/>
          <w:sz w:val="20"/>
          <w:szCs w:val="20"/>
        </w:rPr>
      </w:pPr>
    </w:p>
    <w:tbl>
      <w:tblPr>
        <w:tblStyle w:val="TableGrid"/>
        <w:tblW w:w="0" w:type="auto"/>
        <w:tblLook w:val="04A0" w:firstRow="1" w:lastRow="0" w:firstColumn="1" w:lastColumn="0" w:noHBand="0" w:noVBand="1"/>
      </w:tblPr>
      <w:tblGrid>
        <w:gridCol w:w="1100"/>
        <w:gridCol w:w="3200"/>
        <w:gridCol w:w="4987"/>
      </w:tblGrid>
      <w:tr w:rsidR="00A66FC6" w:rsidRPr="00A66FC6" w:rsidTr="00B40A7F">
        <w:tc>
          <w:tcPr>
            <w:tcW w:w="999" w:type="dxa"/>
          </w:tcPr>
          <w:p w:rsidR="00A66FC6" w:rsidRPr="00A66FC6" w:rsidRDefault="00A66FC6" w:rsidP="00A66FC6">
            <w:pPr>
              <w:jc w:val="center"/>
              <w:rPr>
                <w:rFonts w:ascii="Verdana" w:hAnsi="Verdana"/>
                <w:b/>
                <w:bCs/>
                <w:sz w:val="20"/>
                <w:szCs w:val="20"/>
              </w:rPr>
            </w:pPr>
            <w:r w:rsidRPr="00A66FC6">
              <w:rPr>
                <w:rFonts w:ascii="Verdana" w:hAnsi="Verdana"/>
                <w:b/>
                <w:bCs/>
                <w:sz w:val="20"/>
                <w:szCs w:val="20"/>
              </w:rPr>
              <w:t>Chapter</w:t>
            </w:r>
          </w:p>
        </w:tc>
        <w:tc>
          <w:tcPr>
            <w:tcW w:w="3220" w:type="dxa"/>
          </w:tcPr>
          <w:p w:rsidR="00A66FC6" w:rsidRPr="00A66FC6" w:rsidRDefault="00A66FC6" w:rsidP="00A66FC6">
            <w:pPr>
              <w:rPr>
                <w:rFonts w:ascii="Verdana" w:hAnsi="Verdana"/>
                <w:b/>
                <w:bCs/>
                <w:sz w:val="20"/>
                <w:szCs w:val="20"/>
              </w:rPr>
            </w:pPr>
            <w:r w:rsidRPr="00A66FC6">
              <w:rPr>
                <w:rFonts w:ascii="Verdana" w:hAnsi="Verdana"/>
                <w:b/>
                <w:bCs/>
                <w:sz w:val="20"/>
                <w:szCs w:val="20"/>
              </w:rPr>
              <w:t>Title</w:t>
            </w:r>
          </w:p>
        </w:tc>
        <w:tc>
          <w:tcPr>
            <w:tcW w:w="5023" w:type="dxa"/>
          </w:tcPr>
          <w:p w:rsidR="00A66FC6" w:rsidRPr="00A66FC6" w:rsidRDefault="00A66FC6" w:rsidP="00A66FC6">
            <w:pPr>
              <w:rPr>
                <w:rFonts w:ascii="Verdana" w:hAnsi="Verdana"/>
                <w:b/>
                <w:bCs/>
                <w:sz w:val="20"/>
                <w:szCs w:val="20"/>
              </w:rPr>
            </w:pPr>
            <w:r w:rsidRPr="00A66FC6">
              <w:rPr>
                <w:rFonts w:ascii="Verdana" w:hAnsi="Verdana"/>
                <w:b/>
                <w:bCs/>
                <w:sz w:val="20"/>
                <w:szCs w:val="20"/>
              </w:rPr>
              <w:t>Content description</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0.</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Introduction</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which entities approved these WAs and when, plus indication of previous WAs that have now been superseded.</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1.</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Background</w:t>
            </w:r>
          </w:p>
        </w:tc>
        <w:tc>
          <w:tcPr>
            <w:tcW w:w="5023" w:type="dxa"/>
          </w:tcPr>
          <w:p w:rsidR="00A66FC6" w:rsidRPr="00A66FC6" w:rsidRDefault="00A66FC6" w:rsidP="00A66FC6">
            <w:pPr>
              <w:rPr>
                <w:rFonts w:ascii="Verdana" w:hAnsi="Verdana"/>
                <w:bCs/>
                <w:i/>
                <w:iCs/>
                <w:sz w:val="20"/>
                <w:szCs w:val="20"/>
                <w:lang w:val="en-US"/>
              </w:rPr>
            </w:pPr>
            <w:r w:rsidRPr="00A66FC6">
              <w:rPr>
                <w:rFonts w:ascii="Verdana" w:hAnsi="Verdana"/>
                <w:bCs/>
                <w:i/>
                <w:iCs/>
                <w:sz w:val="20"/>
                <w:szCs w:val="20"/>
                <w:lang w:val="en-US"/>
              </w:rPr>
              <w:t>Description of historical relationship between the two Organizations, their respective mandates and the intent of these WAs.</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2.</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Generalities</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spirit of cooperation between the two Organizations, including at SG level, and high-level principles of cooperation.</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3.</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Scope of application</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respective rules and procedures, limits of responsibility and resources, and extent of cooperation.</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4.</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Standards development and standards adoption modalities</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Standards development from the perspective of each Organization and implications on separate publications and joint publications.</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5.</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Publications and terminology</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publication of common Standards in separate documents or joint documents.</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6.</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Copyright</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copyright ownerships as they apply to publications resulting from the application of these working arrangements.</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7.</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Maintenance procedures</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revisions to common standards and the respective approvals procedures, plus handling of revisions where common agreement has not been reached.</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8.</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Technical assistance and capacity development activities</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respective roles and responsibilities in the provision of technical assistance and capacity development to States/Members, including mutually agreed collaborative arrangements.</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9.</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Education and training, qualification and competency</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respective roles and responsibilities in the establishment and implementation of meteorological requirements for aeronautical meteorological personnel and for non-meteorological operational knowledge to be met by aeronautical meteorological personnel.</w:t>
            </w:r>
          </w:p>
        </w:tc>
      </w:tr>
      <w:tr w:rsidR="00A66FC6" w:rsidRPr="00A66FC6" w:rsidTr="00B40A7F">
        <w:tc>
          <w:tcPr>
            <w:tcW w:w="999" w:type="dxa"/>
          </w:tcPr>
          <w:p w:rsidR="00A66FC6" w:rsidRPr="00A66FC6" w:rsidRDefault="00A66FC6" w:rsidP="00A66FC6">
            <w:pPr>
              <w:jc w:val="center"/>
              <w:rPr>
                <w:rFonts w:ascii="Verdana" w:hAnsi="Verdana"/>
                <w:bCs/>
                <w:sz w:val="20"/>
                <w:szCs w:val="20"/>
              </w:rPr>
            </w:pPr>
            <w:r w:rsidRPr="00A66FC6">
              <w:rPr>
                <w:rFonts w:ascii="Verdana" w:hAnsi="Verdana"/>
                <w:bCs/>
                <w:sz w:val="20"/>
                <w:szCs w:val="20"/>
              </w:rPr>
              <w:t>10.</w:t>
            </w:r>
          </w:p>
        </w:tc>
        <w:tc>
          <w:tcPr>
            <w:tcW w:w="3220" w:type="dxa"/>
          </w:tcPr>
          <w:p w:rsidR="00A66FC6" w:rsidRPr="00A66FC6" w:rsidRDefault="00A66FC6" w:rsidP="00A66FC6">
            <w:pPr>
              <w:rPr>
                <w:rFonts w:ascii="Verdana" w:hAnsi="Verdana"/>
                <w:bCs/>
                <w:sz w:val="20"/>
                <w:szCs w:val="20"/>
              </w:rPr>
            </w:pPr>
            <w:r w:rsidRPr="00A66FC6">
              <w:rPr>
                <w:rFonts w:ascii="Verdana" w:hAnsi="Verdana"/>
                <w:bCs/>
                <w:sz w:val="20"/>
                <w:szCs w:val="20"/>
              </w:rPr>
              <w:t>Termination</w:t>
            </w:r>
          </w:p>
        </w:tc>
        <w:tc>
          <w:tcPr>
            <w:tcW w:w="5023" w:type="dxa"/>
          </w:tcPr>
          <w:p w:rsidR="00A66FC6" w:rsidRPr="00A66FC6" w:rsidRDefault="00A66FC6" w:rsidP="00A66FC6">
            <w:pPr>
              <w:rPr>
                <w:rFonts w:ascii="Verdana" w:hAnsi="Verdana"/>
                <w:bCs/>
                <w:i/>
                <w:iCs/>
                <w:sz w:val="20"/>
                <w:szCs w:val="20"/>
              </w:rPr>
            </w:pPr>
            <w:r w:rsidRPr="00A66FC6">
              <w:rPr>
                <w:rFonts w:ascii="Verdana" w:hAnsi="Verdana"/>
                <w:bCs/>
                <w:i/>
                <w:iCs/>
                <w:sz w:val="20"/>
                <w:szCs w:val="20"/>
              </w:rPr>
              <w:t>Description of entry into force and, where needed, early termination of these working arrangements, plus cycle for their periodic review and modification.</w:t>
            </w:r>
          </w:p>
        </w:tc>
      </w:tr>
    </w:tbl>
    <w:p w:rsidR="00A66FC6" w:rsidRPr="00A66FC6" w:rsidRDefault="00A66FC6" w:rsidP="00A66FC6">
      <w:pPr>
        <w:rPr>
          <w:rFonts w:ascii="Verdana" w:hAnsi="Verdana"/>
          <w:bCs/>
          <w:sz w:val="20"/>
          <w:szCs w:val="20"/>
        </w:rPr>
      </w:pPr>
    </w:p>
    <w:p w:rsidR="00360B26" w:rsidRPr="00343F28" w:rsidRDefault="001C7D49" w:rsidP="00360B26">
      <w:pPr>
        <w:pStyle w:val="WMOBodyText"/>
        <w:jc w:val="center"/>
        <w:rPr>
          <w:rFonts w:ascii="Verdana" w:hAnsi="Verdana"/>
          <w:sz w:val="20"/>
          <w:szCs w:val="20"/>
        </w:rPr>
      </w:pPr>
      <w:r>
        <w:rPr>
          <w:rFonts w:ascii="Verdana" w:hAnsi="Verdana"/>
          <w:sz w:val="20"/>
          <w:szCs w:val="20"/>
        </w:rPr>
        <w:t>_____</w:t>
      </w:r>
    </w:p>
    <w:p w:rsidR="002169EF" w:rsidRPr="00343F28" w:rsidRDefault="002169EF" w:rsidP="00581E2E">
      <w:pPr>
        <w:rPr>
          <w:rFonts w:ascii="Verdana" w:hAnsi="Verdana"/>
          <w:sz w:val="20"/>
          <w:szCs w:val="20"/>
        </w:rPr>
      </w:pPr>
    </w:p>
    <w:p w:rsidR="00003FCA" w:rsidRPr="00343F28" w:rsidRDefault="00003FCA">
      <w:pPr>
        <w:rPr>
          <w:rFonts w:ascii="Verdana" w:hAnsi="Verdana"/>
          <w:sz w:val="20"/>
          <w:szCs w:val="20"/>
        </w:rPr>
      </w:pPr>
    </w:p>
    <w:p w:rsidR="00D41D53" w:rsidRPr="00343F28" w:rsidRDefault="00D41D53">
      <w:pPr>
        <w:jc w:val="center"/>
        <w:rPr>
          <w:rFonts w:ascii="Verdana" w:hAnsi="Verdana"/>
          <w:sz w:val="20"/>
          <w:szCs w:val="20"/>
        </w:rPr>
      </w:pPr>
    </w:p>
    <w:sectPr w:rsidR="00D41D53" w:rsidRPr="00343F28" w:rsidSect="001C7D49">
      <w:headerReference w:type="first" r:id="rId10"/>
      <w:pgSz w:w="11907" w:h="16840" w:code="9"/>
      <w:pgMar w:top="993" w:right="1418" w:bottom="1418" w:left="1418"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5A" w:rsidRDefault="0006335A">
      <w:r>
        <w:separator/>
      </w:r>
    </w:p>
  </w:endnote>
  <w:endnote w:type="continuationSeparator" w:id="0">
    <w:p w:rsidR="0006335A" w:rsidRDefault="000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5A" w:rsidRDefault="0006335A">
      <w:r>
        <w:separator/>
      </w:r>
    </w:p>
  </w:footnote>
  <w:footnote w:type="continuationSeparator" w:id="0">
    <w:p w:rsidR="0006335A" w:rsidRDefault="0006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C6" w:rsidRPr="00B92C71" w:rsidRDefault="00003FCA" w:rsidP="001720D7">
    <w:pPr>
      <w:pStyle w:val="Header"/>
      <w:jc w:val="center"/>
      <w:rPr>
        <w:sz w:val="20"/>
        <w:szCs w:val="20"/>
        <w:lang w:val="en-US"/>
      </w:rPr>
    </w:pPr>
    <w:r w:rsidRPr="00BF6F78">
      <w:rPr>
        <w:sz w:val="20"/>
        <w:szCs w:val="20"/>
        <w:lang w:val="de-DE"/>
      </w:rPr>
      <w:t>C</w:t>
    </w:r>
    <w:r>
      <w:rPr>
        <w:sz w:val="20"/>
        <w:szCs w:val="20"/>
        <w:lang w:val="de-DE"/>
      </w:rPr>
      <w:t>AeM-</w:t>
    </w:r>
    <w:r w:rsidRPr="00BF6F78">
      <w:rPr>
        <w:sz w:val="20"/>
        <w:szCs w:val="20"/>
        <w:lang w:val="de-DE"/>
      </w:rPr>
      <w:t>MG</w:t>
    </w:r>
    <w:r>
      <w:rPr>
        <w:sz w:val="20"/>
        <w:szCs w:val="20"/>
        <w:lang w:val="de-DE"/>
      </w:rPr>
      <w:t>/</w:t>
    </w:r>
    <w:r w:rsidRPr="00BF6F78">
      <w:rPr>
        <w:sz w:val="20"/>
        <w:szCs w:val="20"/>
        <w:lang w:val="de-DE"/>
      </w:rPr>
      <w:t>20</w:t>
    </w:r>
    <w:r>
      <w:rPr>
        <w:sz w:val="20"/>
        <w:szCs w:val="20"/>
        <w:lang w:val="de-DE"/>
      </w:rPr>
      <w:t>16</w:t>
    </w:r>
    <w:r w:rsidRPr="00BF6F78">
      <w:rPr>
        <w:sz w:val="20"/>
        <w:szCs w:val="20"/>
        <w:lang w:val="de-DE"/>
      </w:rPr>
      <w:t>/</w:t>
    </w:r>
    <w:r w:rsidR="00360B26">
      <w:rPr>
        <w:sz w:val="20"/>
        <w:szCs w:val="20"/>
        <w:lang w:val="de-DE"/>
      </w:rPr>
      <w:t xml:space="preserve">INF </w:t>
    </w:r>
    <w:r w:rsidR="001720D7">
      <w:rPr>
        <w:sz w:val="20"/>
        <w:szCs w:val="20"/>
        <w:lang w:val="de-DE"/>
      </w:rPr>
      <w:t>1</w:t>
    </w:r>
    <w:r w:rsidR="00E811C6">
      <w:rPr>
        <w:sz w:val="20"/>
        <w:szCs w:val="20"/>
        <w:lang w:val="en-US"/>
      </w:rPr>
      <w:t>, p</w:t>
    </w:r>
    <w:r w:rsidR="00E811C6" w:rsidRPr="00B92C71">
      <w:rPr>
        <w:sz w:val="20"/>
        <w:szCs w:val="20"/>
        <w:lang w:val="en-US"/>
      </w:rPr>
      <w:t xml:space="preserve">. </w:t>
    </w:r>
    <w:r w:rsidR="00E811C6" w:rsidRPr="00B92C71">
      <w:rPr>
        <w:rStyle w:val="PageNumber"/>
        <w:sz w:val="20"/>
        <w:szCs w:val="20"/>
      </w:rPr>
      <w:fldChar w:fldCharType="begin"/>
    </w:r>
    <w:r w:rsidR="00E811C6" w:rsidRPr="00B92C71">
      <w:rPr>
        <w:rStyle w:val="PageNumber"/>
        <w:sz w:val="20"/>
        <w:szCs w:val="20"/>
      </w:rPr>
      <w:instrText xml:space="preserve"> PAGE </w:instrText>
    </w:r>
    <w:r w:rsidR="00E811C6" w:rsidRPr="00B92C71">
      <w:rPr>
        <w:rStyle w:val="PageNumber"/>
        <w:sz w:val="20"/>
        <w:szCs w:val="20"/>
      </w:rPr>
      <w:fldChar w:fldCharType="separate"/>
    </w:r>
    <w:r w:rsidR="001C7D49">
      <w:rPr>
        <w:rStyle w:val="PageNumber"/>
        <w:noProof/>
        <w:sz w:val="20"/>
        <w:szCs w:val="20"/>
      </w:rPr>
      <w:t>3</w:t>
    </w:r>
    <w:r w:rsidR="00E811C6" w:rsidRPr="00B92C71">
      <w:rPr>
        <w:rStyle w:val="PageNumbe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49" w:rsidRPr="001C7D49" w:rsidRDefault="001C7D49" w:rsidP="001C7D49">
    <w:pPr>
      <w:pStyle w:val="Header"/>
      <w:jc w:val="center"/>
      <w:rPr>
        <w:rFonts w:ascii="Verdana" w:hAnsi="Verdana"/>
        <w:sz w:val="18"/>
        <w:szCs w:val="18"/>
      </w:rPr>
    </w:pPr>
    <w:proofErr w:type="spellStart"/>
    <w:r w:rsidRPr="001C7D49">
      <w:rPr>
        <w:rFonts w:ascii="Verdana" w:hAnsi="Verdana"/>
        <w:sz w:val="18"/>
        <w:szCs w:val="18"/>
        <w:lang w:val="de-DE"/>
      </w:rPr>
      <w:t>CAeM</w:t>
    </w:r>
    <w:proofErr w:type="spellEnd"/>
    <w:r w:rsidRPr="001C7D49">
      <w:rPr>
        <w:rFonts w:ascii="Verdana" w:hAnsi="Verdana"/>
        <w:sz w:val="18"/>
        <w:szCs w:val="18"/>
        <w:lang w:val="de-DE"/>
      </w:rPr>
      <w:t>-MG/2016/INF</w:t>
    </w:r>
    <w:r>
      <w:rPr>
        <w:rFonts w:ascii="Verdana" w:hAnsi="Verdana"/>
        <w:sz w:val="18"/>
        <w:szCs w:val="18"/>
        <w:lang w:val="de-DE"/>
      </w:rPr>
      <w:t>.</w:t>
    </w:r>
    <w:r w:rsidRPr="001C7D49">
      <w:rPr>
        <w:rFonts w:ascii="Verdana" w:hAnsi="Verdana"/>
        <w:sz w:val="18"/>
        <w:szCs w:val="18"/>
        <w:lang w:val="de-DE"/>
      </w:rPr>
      <w:t xml:space="preserve"> 1, </w:t>
    </w:r>
    <w:r>
      <w:rPr>
        <w:rFonts w:ascii="Verdana" w:hAnsi="Verdana"/>
        <w:sz w:val="18"/>
        <w:szCs w:val="18"/>
        <w:lang w:val="de-DE"/>
      </w:rPr>
      <w:t xml:space="preserve">p. 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49" w:rsidRPr="001C7D49" w:rsidRDefault="001C7D49" w:rsidP="001C7D49">
    <w:pPr>
      <w:pStyle w:val="Header"/>
      <w:jc w:val="center"/>
      <w:rPr>
        <w:rFonts w:ascii="Verdana" w:hAnsi="Verdana"/>
        <w:sz w:val="18"/>
        <w:szCs w:val="18"/>
      </w:rPr>
    </w:pPr>
    <w:proofErr w:type="spellStart"/>
    <w:r w:rsidRPr="001C7D49">
      <w:rPr>
        <w:rFonts w:ascii="Verdana" w:hAnsi="Verdana"/>
        <w:sz w:val="18"/>
        <w:szCs w:val="18"/>
        <w:lang w:val="de-DE"/>
      </w:rPr>
      <w:t>CAeM</w:t>
    </w:r>
    <w:proofErr w:type="spellEnd"/>
    <w:r w:rsidRPr="001C7D49">
      <w:rPr>
        <w:rFonts w:ascii="Verdana" w:hAnsi="Verdana"/>
        <w:sz w:val="18"/>
        <w:szCs w:val="18"/>
        <w:lang w:val="de-DE"/>
      </w:rPr>
      <w:t>-MG/2016/INF</w:t>
    </w:r>
    <w:r>
      <w:rPr>
        <w:rFonts w:ascii="Verdana" w:hAnsi="Verdana"/>
        <w:sz w:val="18"/>
        <w:szCs w:val="18"/>
        <w:lang w:val="de-DE"/>
      </w:rPr>
      <w:t>.</w:t>
    </w:r>
    <w:r w:rsidRPr="001C7D49">
      <w:rPr>
        <w:rFonts w:ascii="Verdana" w:hAnsi="Verdana"/>
        <w:sz w:val="18"/>
        <w:szCs w:val="18"/>
        <w:lang w:val="de-DE"/>
      </w:rPr>
      <w:t xml:space="preserve"> 1, </w:t>
    </w:r>
    <w:r>
      <w:rPr>
        <w:rFonts w:ascii="Verdana" w:hAnsi="Verdana"/>
        <w:sz w:val="18"/>
        <w:szCs w:val="18"/>
        <w:lang w:val="de-DE"/>
      </w:rPr>
      <w:t xml:space="preserve">ANNEX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F0A3A"/>
    <w:multiLevelType w:val="multilevel"/>
    <w:tmpl w:val="2EDAB6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345"/>
        </w:tabs>
        <w:ind w:left="2345"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1">
    <w:nsid w:val="307D78E4"/>
    <w:multiLevelType w:val="multilevel"/>
    <w:tmpl w:val="2F28588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4B3665"/>
    <w:multiLevelType w:val="multilevel"/>
    <w:tmpl w:val="589A74C2"/>
    <w:lvl w:ilvl="0">
      <w:start w:val="5"/>
      <w:numFmt w:val="decimal"/>
      <w:lvlText w:val="%1."/>
      <w:lvlJc w:val="left"/>
      <w:pPr>
        <w:tabs>
          <w:tab w:val="num" w:pos="1976"/>
        </w:tabs>
        <w:ind w:left="1976" w:hanging="1125"/>
      </w:pPr>
      <w:rPr>
        <w:rFonts w:hint="default"/>
      </w:rPr>
    </w:lvl>
    <w:lvl w:ilvl="1">
      <w:start w:val="2"/>
      <w:numFmt w:val="decimal"/>
      <w:isLgl/>
      <w:lvlText w:val="%1.%2"/>
      <w:lvlJc w:val="left"/>
      <w:pPr>
        <w:tabs>
          <w:tab w:val="num" w:pos="2495"/>
        </w:tabs>
        <w:ind w:left="2495" w:hanging="510"/>
      </w:pPr>
      <w:rPr>
        <w:rFonts w:hint="default"/>
      </w:rPr>
    </w:lvl>
    <w:lvl w:ilvl="2">
      <w:start w:val="1"/>
      <w:numFmt w:val="decimal"/>
      <w:isLgl/>
      <w:lvlText w:val="%1.%2.%3"/>
      <w:lvlJc w:val="left"/>
      <w:pPr>
        <w:tabs>
          <w:tab w:val="num" w:pos="3839"/>
        </w:tabs>
        <w:ind w:left="3839" w:hanging="720"/>
      </w:pPr>
      <w:rPr>
        <w:rFonts w:hint="default"/>
      </w:rPr>
    </w:lvl>
    <w:lvl w:ilvl="3">
      <w:start w:val="1"/>
      <w:numFmt w:val="decimal"/>
      <w:isLgl/>
      <w:lvlText w:val="%1.%2.%3.%4"/>
      <w:lvlJc w:val="left"/>
      <w:pPr>
        <w:tabs>
          <w:tab w:val="num" w:pos="4973"/>
        </w:tabs>
        <w:ind w:left="4973" w:hanging="720"/>
      </w:pPr>
      <w:rPr>
        <w:rFonts w:hint="default"/>
      </w:rPr>
    </w:lvl>
    <w:lvl w:ilvl="4">
      <w:start w:val="1"/>
      <w:numFmt w:val="decimal"/>
      <w:isLgl/>
      <w:lvlText w:val="%1.%2.%3.%4.%5"/>
      <w:lvlJc w:val="left"/>
      <w:pPr>
        <w:tabs>
          <w:tab w:val="num" w:pos="6467"/>
        </w:tabs>
        <w:ind w:left="6467" w:hanging="1080"/>
      </w:pPr>
      <w:rPr>
        <w:rFonts w:hint="default"/>
      </w:rPr>
    </w:lvl>
    <w:lvl w:ilvl="5">
      <w:start w:val="1"/>
      <w:numFmt w:val="decimal"/>
      <w:isLgl/>
      <w:lvlText w:val="%1.%2.%3.%4.%5.%6"/>
      <w:lvlJc w:val="left"/>
      <w:pPr>
        <w:tabs>
          <w:tab w:val="num" w:pos="7601"/>
        </w:tabs>
        <w:ind w:left="7601" w:hanging="1080"/>
      </w:pPr>
      <w:rPr>
        <w:rFonts w:hint="default"/>
      </w:rPr>
    </w:lvl>
    <w:lvl w:ilvl="6">
      <w:start w:val="1"/>
      <w:numFmt w:val="decimal"/>
      <w:isLgl/>
      <w:lvlText w:val="%1.%2.%3.%4.%5.%6.%7"/>
      <w:lvlJc w:val="left"/>
      <w:pPr>
        <w:tabs>
          <w:tab w:val="num" w:pos="9095"/>
        </w:tabs>
        <w:ind w:left="9095" w:hanging="1440"/>
      </w:pPr>
      <w:rPr>
        <w:rFonts w:hint="default"/>
      </w:rPr>
    </w:lvl>
    <w:lvl w:ilvl="7">
      <w:start w:val="1"/>
      <w:numFmt w:val="decimal"/>
      <w:isLgl/>
      <w:lvlText w:val="%1.%2.%3.%4.%5.%6.%7.%8"/>
      <w:lvlJc w:val="left"/>
      <w:pPr>
        <w:tabs>
          <w:tab w:val="num" w:pos="10229"/>
        </w:tabs>
        <w:ind w:left="10229" w:hanging="1440"/>
      </w:pPr>
      <w:rPr>
        <w:rFonts w:hint="default"/>
      </w:rPr>
    </w:lvl>
    <w:lvl w:ilvl="8">
      <w:start w:val="1"/>
      <w:numFmt w:val="decimal"/>
      <w:isLgl/>
      <w:lvlText w:val="%1.%2.%3.%4.%5.%6.%7.%8.%9"/>
      <w:lvlJc w:val="left"/>
      <w:pPr>
        <w:tabs>
          <w:tab w:val="num" w:pos="11723"/>
        </w:tabs>
        <w:ind w:left="11723" w:hanging="1800"/>
      </w:pPr>
      <w:rPr>
        <w:rFonts w:hint="default"/>
      </w:rPr>
    </w:lvl>
  </w:abstractNum>
  <w:abstractNum w:abstractNumId="3">
    <w:nsid w:val="446A5631"/>
    <w:multiLevelType w:val="multilevel"/>
    <w:tmpl w:val="993C3BB2"/>
    <w:styleLink w:val="Threelevelnumberedlist"/>
    <w:lvl w:ilvl="0">
      <w:start w:val="1"/>
      <w:numFmt w:val="decimal"/>
      <w:pStyle w:val="BodyTitleNumbered"/>
      <w:lvlText w:val="%1."/>
      <w:lvlJc w:val="left"/>
      <w:pPr>
        <w:ind w:left="1080" w:hanging="1080"/>
      </w:pPr>
      <w:rPr>
        <w:rFonts w:hint="default"/>
      </w:rPr>
    </w:lvl>
    <w:lvl w:ilvl="1">
      <w:start w:val="1"/>
      <w:numFmt w:val="decimal"/>
      <w:pStyle w:val="BodyNumberedList"/>
      <w:lvlText w:val="%1.%2"/>
      <w:lvlJc w:val="left"/>
      <w:pPr>
        <w:ind w:left="1080" w:hanging="1080"/>
      </w:pPr>
      <w:rPr>
        <w:rFonts w:hint="default"/>
      </w:rPr>
    </w:lvl>
    <w:lvl w:ilvl="2">
      <w:start w:val="1"/>
      <w:numFmt w:val="decimal"/>
      <w:pStyle w:val="BodyNumber3"/>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CDA13B7"/>
    <w:multiLevelType w:val="multilevel"/>
    <w:tmpl w:val="FD8C66D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2345"/>
        </w:tabs>
        <w:ind w:left="2345" w:hanging="360"/>
      </w:pPr>
      <w:rPr>
        <w:rFonts w:hint="default"/>
        <w:b/>
      </w:rPr>
    </w:lvl>
    <w:lvl w:ilvl="2">
      <w:start w:val="1"/>
      <w:numFmt w:val="decimal"/>
      <w:lvlText w:val="%1.%2.%3"/>
      <w:lvlJc w:val="left"/>
      <w:pPr>
        <w:tabs>
          <w:tab w:val="num" w:pos="4690"/>
        </w:tabs>
        <w:ind w:left="4690" w:hanging="720"/>
      </w:pPr>
      <w:rPr>
        <w:rFonts w:hint="default"/>
        <w:b/>
      </w:rPr>
    </w:lvl>
    <w:lvl w:ilvl="3">
      <w:start w:val="1"/>
      <w:numFmt w:val="decimal"/>
      <w:lvlText w:val="%1.%2.%3.%4"/>
      <w:lvlJc w:val="left"/>
      <w:pPr>
        <w:tabs>
          <w:tab w:val="num" w:pos="6675"/>
        </w:tabs>
        <w:ind w:left="6675" w:hanging="720"/>
      </w:pPr>
      <w:rPr>
        <w:rFonts w:hint="default"/>
        <w:b/>
      </w:rPr>
    </w:lvl>
    <w:lvl w:ilvl="4">
      <w:start w:val="1"/>
      <w:numFmt w:val="decimal"/>
      <w:lvlText w:val="%1.%2.%3.%4.%5"/>
      <w:lvlJc w:val="left"/>
      <w:pPr>
        <w:tabs>
          <w:tab w:val="num" w:pos="9020"/>
        </w:tabs>
        <w:ind w:left="9020" w:hanging="1080"/>
      </w:pPr>
      <w:rPr>
        <w:rFonts w:hint="default"/>
        <w:b/>
      </w:rPr>
    </w:lvl>
    <w:lvl w:ilvl="5">
      <w:start w:val="1"/>
      <w:numFmt w:val="decimal"/>
      <w:lvlText w:val="%1.%2.%3.%4.%5.%6"/>
      <w:lvlJc w:val="left"/>
      <w:pPr>
        <w:tabs>
          <w:tab w:val="num" w:pos="11005"/>
        </w:tabs>
        <w:ind w:left="11005" w:hanging="1080"/>
      </w:pPr>
      <w:rPr>
        <w:rFonts w:hint="default"/>
        <w:b/>
      </w:rPr>
    </w:lvl>
    <w:lvl w:ilvl="6">
      <w:start w:val="1"/>
      <w:numFmt w:val="decimal"/>
      <w:lvlText w:val="%1.%2.%3.%4.%5.%6.%7"/>
      <w:lvlJc w:val="left"/>
      <w:pPr>
        <w:tabs>
          <w:tab w:val="num" w:pos="13350"/>
        </w:tabs>
        <w:ind w:left="13350" w:hanging="1440"/>
      </w:pPr>
      <w:rPr>
        <w:rFonts w:hint="default"/>
        <w:b/>
      </w:rPr>
    </w:lvl>
    <w:lvl w:ilvl="7">
      <w:start w:val="1"/>
      <w:numFmt w:val="decimal"/>
      <w:lvlText w:val="%1.%2.%3.%4.%5.%6.%7.%8"/>
      <w:lvlJc w:val="left"/>
      <w:pPr>
        <w:tabs>
          <w:tab w:val="num" w:pos="15335"/>
        </w:tabs>
        <w:ind w:left="15335" w:hanging="1440"/>
      </w:pPr>
      <w:rPr>
        <w:rFonts w:hint="default"/>
        <w:b/>
      </w:rPr>
    </w:lvl>
    <w:lvl w:ilvl="8">
      <w:start w:val="1"/>
      <w:numFmt w:val="decimal"/>
      <w:lvlText w:val="%1.%2.%3.%4.%5.%6.%7.%8.%9"/>
      <w:lvlJc w:val="left"/>
      <w:pPr>
        <w:tabs>
          <w:tab w:val="num" w:pos="17680"/>
        </w:tabs>
        <w:ind w:left="17680" w:hanging="1800"/>
      </w:pPr>
      <w:rPr>
        <w:rFonts w:hint="default"/>
        <w:b/>
      </w:rPr>
    </w:lvl>
  </w:abstractNum>
  <w:abstractNum w:abstractNumId="5">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cs="Aria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abstractNum w:abstractNumId="6">
    <w:nsid w:val="612648D4"/>
    <w:multiLevelType w:val="multilevel"/>
    <w:tmpl w:val="993C3BB2"/>
    <w:numStyleLink w:val="Threelevelnumberedlist"/>
  </w:abstractNum>
  <w:abstractNum w:abstractNumId="7">
    <w:nsid w:val="6A22605C"/>
    <w:multiLevelType w:val="multilevel"/>
    <w:tmpl w:val="993C3BB2"/>
    <w:lvl w:ilvl="0">
      <w:start w:val="1"/>
      <w:numFmt w:val="decimal"/>
      <w:lvlText w:val="%1."/>
      <w:lvlJc w:val="left"/>
      <w:pPr>
        <w:ind w:left="1080" w:hanging="10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6"/>
    <w:lvlOverride w:ilvl="0">
      <w:lvl w:ilvl="0">
        <w:start w:val="1"/>
        <w:numFmt w:val="decimal"/>
        <w:lvlText w:val="%1."/>
        <w:lvlJc w:val="left"/>
        <w:pPr>
          <w:ind w:left="1080" w:hanging="1080"/>
        </w:pPr>
        <w:rPr>
          <w:rFonts w:hint="default"/>
        </w:rPr>
      </w:lvl>
    </w:lvlOverride>
    <w:lvlOverride w:ilvl="1">
      <w:lvl w:ilvl="1">
        <w:start w:val="1"/>
        <w:numFmt w:val="decimal"/>
        <w:lvlText w:val="%1.%2"/>
        <w:lvlJc w:val="left"/>
        <w:pPr>
          <w:ind w:left="1080" w:hanging="1080"/>
        </w:pPr>
        <w:rPr>
          <w:rFonts w:hint="default"/>
        </w:rPr>
      </w:lvl>
    </w:lvlOverride>
    <w:lvlOverride w:ilvl="2">
      <w:lvl w:ilvl="2">
        <w:start w:val="1"/>
        <w:numFmt w:val="decimal"/>
        <w:lvlText w:val="%1.%2.%3"/>
        <w:lvlJc w:val="left"/>
        <w:pPr>
          <w:ind w:left="2520" w:hanging="1440"/>
        </w:pPr>
        <w:rPr>
          <w:rFonts w:hint="default"/>
        </w:rPr>
      </w:lvl>
    </w:lvlOverride>
    <w:lvlOverride w:ilvl="3">
      <w:lvl w:ilvl="3">
        <w:start w:val="1"/>
        <w:numFmt w:val="decimal"/>
        <w:lvlText w:val="%1.%2.%3.%4"/>
        <w:lvlJc w:val="left"/>
        <w:pPr>
          <w:ind w:left="3960" w:hanging="14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3"/>
  </w:num>
  <w:num w:numId="8">
    <w:abstractNumId w:val="7"/>
    <w:lvlOverride w:ilvl="1">
      <w:lvl w:ilvl="1">
        <w:start w:val="1"/>
        <w:numFmt w:val="decimal"/>
        <w:lvlText w:val="%1.%2"/>
        <w:lvlJc w:val="left"/>
        <w:pPr>
          <w:ind w:left="1080" w:hanging="1080"/>
        </w:pPr>
        <w:rPr>
          <w:rFonts w:hint="default"/>
          <w:b w:val="0"/>
          <w:bCs w:val="0"/>
          <w:i w:val="0"/>
          <w:iCs w:val="0"/>
        </w:rPr>
      </w:lvl>
    </w:lvlOverride>
    <w:lvlOverride w:ilvl="2">
      <w:lvl w:ilvl="2">
        <w:start w:val="1"/>
        <w:numFmt w:val="decimal"/>
        <w:lvlText w:val="%1.%2.%3"/>
        <w:lvlJc w:val="left"/>
        <w:pPr>
          <w:ind w:left="1440" w:hanging="720"/>
        </w:pPr>
        <w:rPr>
          <w:rFonts w:hint="default"/>
          <w:b w:val="0"/>
          <w:bCs w:val="0"/>
          <w:i w:val="0"/>
          <w:i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03FCA"/>
    <w:rsid w:val="00020BB2"/>
    <w:rsid w:val="0006335A"/>
    <w:rsid w:val="00070D6B"/>
    <w:rsid w:val="00071F24"/>
    <w:rsid w:val="001406D3"/>
    <w:rsid w:val="001720D7"/>
    <w:rsid w:val="0017384B"/>
    <w:rsid w:val="001B42E1"/>
    <w:rsid w:val="001C7D49"/>
    <w:rsid w:val="002030DE"/>
    <w:rsid w:val="0021139C"/>
    <w:rsid w:val="0021389F"/>
    <w:rsid w:val="00214256"/>
    <w:rsid w:val="002169EF"/>
    <w:rsid w:val="002172F1"/>
    <w:rsid w:val="00234E41"/>
    <w:rsid w:val="002C33B7"/>
    <w:rsid w:val="00306317"/>
    <w:rsid w:val="0031041F"/>
    <w:rsid w:val="00343F28"/>
    <w:rsid w:val="00360B26"/>
    <w:rsid w:val="003B1630"/>
    <w:rsid w:val="003D08A0"/>
    <w:rsid w:val="00405D97"/>
    <w:rsid w:val="00435F13"/>
    <w:rsid w:val="004B4533"/>
    <w:rsid w:val="004D7EB0"/>
    <w:rsid w:val="004F442D"/>
    <w:rsid w:val="004F5414"/>
    <w:rsid w:val="005737A9"/>
    <w:rsid w:val="00581E2E"/>
    <w:rsid w:val="005A67A9"/>
    <w:rsid w:val="005D4D48"/>
    <w:rsid w:val="005E62E9"/>
    <w:rsid w:val="006120E2"/>
    <w:rsid w:val="00613C50"/>
    <w:rsid w:val="00634DFF"/>
    <w:rsid w:val="00637708"/>
    <w:rsid w:val="00650D4C"/>
    <w:rsid w:val="00675581"/>
    <w:rsid w:val="00712B98"/>
    <w:rsid w:val="007300B1"/>
    <w:rsid w:val="00735DE1"/>
    <w:rsid w:val="00757681"/>
    <w:rsid w:val="007733F7"/>
    <w:rsid w:val="007762B9"/>
    <w:rsid w:val="00785281"/>
    <w:rsid w:val="007A0B86"/>
    <w:rsid w:val="007F1878"/>
    <w:rsid w:val="007F4A6B"/>
    <w:rsid w:val="00826DAF"/>
    <w:rsid w:val="008516A1"/>
    <w:rsid w:val="0087095A"/>
    <w:rsid w:val="00891728"/>
    <w:rsid w:val="008D1AC2"/>
    <w:rsid w:val="008D45ED"/>
    <w:rsid w:val="008D6DEF"/>
    <w:rsid w:val="009060EC"/>
    <w:rsid w:val="0092483E"/>
    <w:rsid w:val="00A03A9D"/>
    <w:rsid w:val="00A072D8"/>
    <w:rsid w:val="00A1293D"/>
    <w:rsid w:val="00A66FC6"/>
    <w:rsid w:val="00AA7098"/>
    <w:rsid w:val="00AD5EA7"/>
    <w:rsid w:val="00AE5EE7"/>
    <w:rsid w:val="00AF62C8"/>
    <w:rsid w:val="00B02E5F"/>
    <w:rsid w:val="00B33A3C"/>
    <w:rsid w:val="00B51572"/>
    <w:rsid w:val="00B92C71"/>
    <w:rsid w:val="00BA0751"/>
    <w:rsid w:val="00BA41D0"/>
    <w:rsid w:val="00BF6F78"/>
    <w:rsid w:val="00C1531A"/>
    <w:rsid w:val="00C50C7D"/>
    <w:rsid w:val="00C85DDA"/>
    <w:rsid w:val="00CB3148"/>
    <w:rsid w:val="00CC0F5E"/>
    <w:rsid w:val="00CE6653"/>
    <w:rsid w:val="00CF01A8"/>
    <w:rsid w:val="00CF5ACC"/>
    <w:rsid w:val="00D36CBB"/>
    <w:rsid w:val="00D41D53"/>
    <w:rsid w:val="00DD5B51"/>
    <w:rsid w:val="00E20015"/>
    <w:rsid w:val="00E70820"/>
    <w:rsid w:val="00E7125B"/>
    <w:rsid w:val="00E72C91"/>
    <w:rsid w:val="00E811C6"/>
    <w:rsid w:val="00E84B6A"/>
    <w:rsid w:val="00EF098A"/>
    <w:rsid w:val="00EF4F8A"/>
    <w:rsid w:val="00F84610"/>
    <w:rsid w:val="00FA41C2"/>
    <w:rsid w:val="00FB2328"/>
    <w:rsid w:val="00FE3D78"/>
    <w:rsid w:val="00FE78F3"/>
    <w:rsid w:val="00FF5BC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paragraph" w:styleId="Heading4">
    <w:name w:val="heading 4"/>
    <w:basedOn w:val="Normal"/>
    <w:next w:val="Normal"/>
    <w:link w:val="Heading4Char"/>
    <w:semiHidden/>
    <w:unhideWhenUsed/>
    <w:qFormat/>
    <w:rsid w:val="00360B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60B2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637708"/>
    <w:pPr>
      <w:ind w:left="720"/>
      <w:contextualSpacing/>
    </w:pPr>
  </w:style>
  <w:style w:type="character" w:styleId="Hyperlink">
    <w:name w:val="Hyperlink"/>
    <w:basedOn w:val="DefaultParagraphFont"/>
    <w:rsid w:val="00360B26"/>
    <w:rPr>
      <w:color w:val="0000FF"/>
      <w:u w:val="none"/>
    </w:rPr>
  </w:style>
  <w:style w:type="paragraph" w:customStyle="1" w:styleId="WMOSubTitle1">
    <w:name w:val="WMO_SubTitle1"/>
    <w:basedOn w:val="Heading4"/>
    <w:next w:val="WMOBodyText"/>
    <w:rsid w:val="00360B26"/>
    <w:pPr>
      <w:tabs>
        <w:tab w:val="left" w:pos="1134"/>
      </w:tabs>
      <w:spacing w:before="280"/>
    </w:pPr>
    <w:rPr>
      <w:rFonts w:ascii="Verdana" w:eastAsia="Arial" w:hAnsi="Verdana" w:cs="Arial"/>
      <w:bCs w:val="0"/>
      <w:iCs w:val="0"/>
      <w:color w:val="auto"/>
      <w:sz w:val="20"/>
      <w:szCs w:val="20"/>
      <w:lang w:eastAsia="zh-TW"/>
    </w:rPr>
  </w:style>
  <w:style w:type="paragraph" w:customStyle="1" w:styleId="Comment">
    <w:name w:val="Comment"/>
    <w:basedOn w:val="Normal"/>
    <w:next w:val="WMOBodyText"/>
    <w:link w:val="CommentChar"/>
    <w:rsid w:val="00360B26"/>
    <w:pPr>
      <w:tabs>
        <w:tab w:val="left" w:pos="1134"/>
      </w:tabs>
      <w:spacing w:before="240"/>
    </w:pPr>
    <w:rPr>
      <w:rFonts w:ascii="Verdana" w:eastAsia="Arial" w:hAnsi="Verdana" w:cs="Arial"/>
      <w:i/>
      <w:sz w:val="20"/>
      <w:szCs w:val="22"/>
      <w:lang w:eastAsia="en-US"/>
    </w:rPr>
  </w:style>
  <w:style w:type="paragraph" w:customStyle="1" w:styleId="WMOSubTitle2">
    <w:name w:val="WMO_SubTitle2"/>
    <w:basedOn w:val="Heading5"/>
    <w:next w:val="WMOBodyText"/>
    <w:rsid w:val="00360B26"/>
    <w:pPr>
      <w:tabs>
        <w:tab w:val="left" w:pos="1134"/>
      </w:tabs>
      <w:spacing w:before="280"/>
    </w:pPr>
    <w:rPr>
      <w:rFonts w:ascii="Verdana" w:eastAsia="Arial" w:hAnsi="Verdana" w:cs="Arial"/>
      <w:bCs/>
      <w:i/>
      <w:iCs/>
      <w:color w:val="auto"/>
      <w:sz w:val="20"/>
      <w:szCs w:val="22"/>
      <w:lang w:eastAsia="zh-TW"/>
    </w:rPr>
  </w:style>
  <w:style w:type="character" w:customStyle="1" w:styleId="CommentChar">
    <w:name w:val="Comment Char"/>
    <w:basedOn w:val="DefaultParagraphFont"/>
    <w:link w:val="Comment"/>
    <w:rsid w:val="00360B26"/>
    <w:rPr>
      <w:rFonts w:ascii="Verdana" w:eastAsia="Arial" w:hAnsi="Verdana" w:cs="Arial"/>
      <w:i/>
      <w:szCs w:val="22"/>
      <w:lang w:val="en-GB" w:eastAsia="en-US"/>
    </w:rPr>
  </w:style>
  <w:style w:type="character" w:customStyle="1" w:styleId="Heading4Char">
    <w:name w:val="Heading 4 Char"/>
    <w:basedOn w:val="DefaultParagraphFont"/>
    <w:link w:val="Heading4"/>
    <w:semiHidden/>
    <w:rsid w:val="00360B26"/>
    <w:rPr>
      <w:rFonts w:asciiTheme="majorHAnsi" w:eastAsiaTheme="majorEastAsia" w:hAnsiTheme="majorHAnsi" w:cstheme="majorBidi"/>
      <w:b/>
      <w:bCs/>
      <w:i/>
      <w:iCs/>
      <w:color w:val="4F81BD" w:themeColor="accent1"/>
      <w:sz w:val="22"/>
      <w:szCs w:val="24"/>
      <w:lang w:val="en-GB" w:eastAsia="zh-CN"/>
    </w:rPr>
  </w:style>
  <w:style w:type="character" w:customStyle="1" w:styleId="Heading5Char">
    <w:name w:val="Heading 5 Char"/>
    <w:basedOn w:val="DefaultParagraphFont"/>
    <w:link w:val="Heading5"/>
    <w:semiHidden/>
    <w:rsid w:val="00360B26"/>
    <w:rPr>
      <w:rFonts w:asciiTheme="majorHAnsi" w:eastAsiaTheme="majorEastAsia" w:hAnsiTheme="majorHAnsi" w:cstheme="majorBidi"/>
      <w:color w:val="243F60" w:themeColor="accent1" w:themeShade="7F"/>
      <w:sz w:val="22"/>
      <w:szCs w:val="24"/>
      <w:lang w:val="en-GB" w:eastAsia="zh-CN"/>
    </w:rPr>
  </w:style>
  <w:style w:type="paragraph" w:styleId="FootnoteText">
    <w:name w:val="footnote text"/>
    <w:basedOn w:val="Normal"/>
    <w:link w:val="FootnoteTextChar"/>
    <w:rsid w:val="00E20015"/>
    <w:rPr>
      <w:sz w:val="20"/>
      <w:szCs w:val="20"/>
    </w:rPr>
  </w:style>
  <w:style w:type="character" w:customStyle="1" w:styleId="FootnoteTextChar">
    <w:name w:val="Footnote Text Char"/>
    <w:basedOn w:val="DefaultParagraphFont"/>
    <w:link w:val="FootnoteText"/>
    <w:rsid w:val="00E20015"/>
    <w:rPr>
      <w:rFonts w:ascii="Arial" w:hAnsi="Arial"/>
      <w:lang w:val="en-GB" w:eastAsia="zh-CN"/>
    </w:rPr>
  </w:style>
  <w:style w:type="character" w:styleId="FootnoteReference">
    <w:name w:val="footnote reference"/>
    <w:basedOn w:val="DefaultParagraphFont"/>
    <w:rsid w:val="00E20015"/>
    <w:rPr>
      <w:vertAlign w:val="superscript"/>
    </w:rPr>
  </w:style>
  <w:style w:type="paragraph" w:customStyle="1" w:styleId="BodyTitleNumbered">
    <w:name w:val="Body Title Numbered"/>
    <w:next w:val="BodyNumberedList"/>
    <w:qFormat/>
    <w:rsid w:val="00E20015"/>
    <w:pPr>
      <w:numPr>
        <w:numId w:val="7"/>
      </w:numPr>
      <w:spacing w:before="720" w:after="200" w:line="276" w:lineRule="auto"/>
    </w:pPr>
    <w:rPr>
      <w:rFonts w:eastAsiaTheme="minorEastAsia" w:cstheme="minorBidi"/>
      <w:b/>
      <w:caps/>
      <w:sz w:val="22"/>
      <w:szCs w:val="22"/>
      <w:lang w:val="en-GB" w:eastAsia="zh-CN"/>
    </w:rPr>
  </w:style>
  <w:style w:type="paragraph" w:customStyle="1" w:styleId="BodyNumberedList">
    <w:name w:val="Body Numbered List"/>
    <w:basedOn w:val="Normal"/>
    <w:qFormat/>
    <w:rsid w:val="00E20015"/>
    <w:pPr>
      <w:numPr>
        <w:ilvl w:val="1"/>
        <w:numId w:val="7"/>
      </w:numPr>
      <w:tabs>
        <w:tab w:val="left" w:pos="1440"/>
      </w:tabs>
      <w:spacing w:after="240"/>
      <w:ind w:left="0" w:firstLine="0"/>
      <w:jc w:val="both"/>
    </w:pPr>
    <w:rPr>
      <w:rFonts w:ascii="Times New Roman" w:eastAsiaTheme="minorEastAsia" w:hAnsi="Times New Roman" w:cstheme="minorBidi"/>
      <w:szCs w:val="22"/>
    </w:rPr>
  </w:style>
  <w:style w:type="numbering" w:customStyle="1" w:styleId="Threelevelnumberedlist">
    <w:name w:val="Three level numbered list"/>
    <w:uiPriority w:val="99"/>
    <w:rsid w:val="00E20015"/>
    <w:pPr>
      <w:numPr>
        <w:numId w:val="7"/>
      </w:numPr>
    </w:pPr>
  </w:style>
  <w:style w:type="paragraph" w:customStyle="1" w:styleId="BodyNumber3">
    <w:name w:val="Body Number 3"/>
    <w:basedOn w:val="BodyNumberedList"/>
    <w:qFormat/>
    <w:rsid w:val="00E20015"/>
    <w:pPr>
      <w:numPr>
        <w:ilvl w:val="2"/>
      </w:numPr>
      <w:tabs>
        <w:tab w:val="num" w:pos="360"/>
      </w:tabs>
      <w:ind w:left="7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paragraph" w:styleId="Heading4">
    <w:name w:val="heading 4"/>
    <w:basedOn w:val="Normal"/>
    <w:next w:val="Normal"/>
    <w:link w:val="Heading4Char"/>
    <w:semiHidden/>
    <w:unhideWhenUsed/>
    <w:qFormat/>
    <w:rsid w:val="00360B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60B2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637708"/>
    <w:pPr>
      <w:ind w:left="720"/>
      <w:contextualSpacing/>
    </w:pPr>
  </w:style>
  <w:style w:type="character" w:styleId="Hyperlink">
    <w:name w:val="Hyperlink"/>
    <w:basedOn w:val="DefaultParagraphFont"/>
    <w:rsid w:val="00360B26"/>
    <w:rPr>
      <w:color w:val="0000FF"/>
      <w:u w:val="none"/>
    </w:rPr>
  </w:style>
  <w:style w:type="paragraph" w:customStyle="1" w:styleId="WMOSubTitle1">
    <w:name w:val="WMO_SubTitle1"/>
    <w:basedOn w:val="Heading4"/>
    <w:next w:val="WMOBodyText"/>
    <w:rsid w:val="00360B26"/>
    <w:pPr>
      <w:tabs>
        <w:tab w:val="left" w:pos="1134"/>
      </w:tabs>
      <w:spacing w:before="280"/>
    </w:pPr>
    <w:rPr>
      <w:rFonts w:ascii="Verdana" w:eastAsia="Arial" w:hAnsi="Verdana" w:cs="Arial"/>
      <w:bCs w:val="0"/>
      <w:iCs w:val="0"/>
      <w:color w:val="auto"/>
      <w:sz w:val="20"/>
      <w:szCs w:val="20"/>
      <w:lang w:eastAsia="zh-TW"/>
    </w:rPr>
  </w:style>
  <w:style w:type="paragraph" w:customStyle="1" w:styleId="Comment">
    <w:name w:val="Comment"/>
    <w:basedOn w:val="Normal"/>
    <w:next w:val="WMOBodyText"/>
    <w:link w:val="CommentChar"/>
    <w:rsid w:val="00360B26"/>
    <w:pPr>
      <w:tabs>
        <w:tab w:val="left" w:pos="1134"/>
      </w:tabs>
      <w:spacing w:before="240"/>
    </w:pPr>
    <w:rPr>
      <w:rFonts w:ascii="Verdana" w:eastAsia="Arial" w:hAnsi="Verdana" w:cs="Arial"/>
      <w:i/>
      <w:sz w:val="20"/>
      <w:szCs w:val="22"/>
      <w:lang w:eastAsia="en-US"/>
    </w:rPr>
  </w:style>
  <w:style w:type="paragraph" w:customStyle="1" w:styleId="WMOSubTitle2">
    <w:name w:val="WMO_SubTitle2"/>
    <w:basedOn w:val="Heading5"/>
    <w:next w:val="WMOBodyText"/>
    <w:rsid w:val="00360B26"/>
    <w:pPr>
      <w:tabs>
        <w:tab w:val="left" w:pos="1134"/>
      </w:tabs>
      <w:spacing w:before="280"/>
    </w:pPr>
    <w:rPr>
      <w:rFonts w:ascii="Verdana" w:eastAsia="Arial" w:hAnsi="Verdana" w:cs="Arial"/>
      <w:bCs/>
      <w:i/>
      <w:iCs/>
      <w:color w:val="auto"/>
      <w:sz w:val="20"/>
      <w:szCs w:val="22"/>
      <w:lang w:eastAsia="zh-TW"/>
    </w:rPr>
  </w:style>
  <w:style w:type="character" w:customStyle="1" w:styleId="CommentChar">
    <w:name w:val="Comment Char"/>
    <w:basedOn w:val="DefaultParagraphFont"/>
    <w:link w:val="Comment"/>
    <w:rsid w:val="00360B26"/>
    <w:rPr>
      <w:rFonts w:ascii="Verdana" w:eastAsia="Arial" w:hAnsi="Verdana" w:cs="Arial"/>
      <w:i/>
      <w:szCs w:val="22"/>
      <w:lang w:val="en-GB" w:eastAsia="en-US"/>
    </w:rPr>
  </w:style>
  <w:style w:type="character" w:customStyle="1" w:styleId="Heading4Char">
    <w:name w:val="Heading 4 Char"/>
    <w:basedOn w:val="DefaultParagraphFont"/>
    <w:link w:val="Heading4"/>
    <w:semiHidden/>
    <w:rsid w:val="00360B26"/>
    <w:rPr>
      <w:rFonts w:asciiTheme="majorHAnsi" w:eastAsiaTheme="majorEastAsia" w:hAnsiTheme="majorHAnsi" w:cstheme="majorBidi"/>
      <w:b/>
      <w:bCs/>
      <w:i/>
      <w:iCs/>
      <w:color w:val="4F81BD" w:themeColor="accent1"/>
      <w:sz w:val="22"/>
      <w:szCs w:val="24"/>
      <w:lang w:val="en-GB" w:eastAsia="zh-CN"/>
    </w:rPr>
  </w:style>
  <w:style w:type="character" w:customStyle="1" w:styleId="Heading5Char">
    <w:name w:val="Heading 5 Char"/>
    <w:basedOn w:val="DefaultParagraphFont"/>
    <w:link w:val="Heading5"/>
    <w:semiHidden/>
    <w:rsid w:val="00360B26"/>
    <w:rPr>
      <w:rFonts w:asciiTheme="majorHAnsi" w:eastAsiaTheme="majorEastAsia" w:hAnsiTheme="majorHAnsi" w:cstheme="majorBidi"/>
      <w:color w:val="243F60" w:themeColor="accent1" w:themeShade="7F"/>
      <w:sz w:val="22"/>
      <w:szCs w:val="24"/>
      <w:lang w:val="en-GB" w:eastAsia="zh-CN"/>
    </w:rPr>
  </w:style>
  <w:style w:type="paragraph" w:styleId="FootnoteText">
    <w:name w:val="footnote text"/>
    <w:basedOn w:val="Normal"/>
    <w:link w:val="FootnoteTextChar"/>
    <w:rsid w:val="00E20015"/>
    <w:rPr>
      <w:sz w:val="20"/>
      <w:szCs w:val="20"/>
    </w:rPr>
  </w:style>
  <w:style w:type="character" w:customStyle="1" w:styleId="FootnoteTextChar">
    <w:name w:val="Footnote Text Char"/>
    <w:basedOn w:val="DefaultParagraphFont"/>
    <w:link w:val="FootnoteText"/>
    <w:rsid w:val="00E20015"/>
    <w:rPr>
      <w:rFonts w:ascii="Arial" w:hAnsi="Arial"/>
      <w:lang w:val="en-GB" w:eastAsia="zh-CN"/>
    </w:rPr>
  </w:style>
  <w:style w:type="character" w:styleId="FootnoteReference">
    <w:name w:val="footnote reference"/>
    <w:basedOn w:val="DefaultParagraphFont"/>
    <w:rsid w:val="00E20015"/>
    <w:rPr>
      <w:vertAlign w:val="superscript"/>
    </w:rPr>
  </w:style>
  <w:style w:type="paragraph" w:customStyle="1" w:styleId="BodyTitleNumbered">
    <w:name w:val="Body Title Numbered"/>
    <w:next w:val="BodyNumberedList"/>
    <w:qFormat/>
    <w:rsid w:val="00E20015"/>
    <w:pPr>
      <w:numPr>
        <w:numId w:val="7"/>
      </w:numPr>
      <w:spacing w:before="720" w:after="200" w:line="276" w:lineRule="auto"/>
    </w:pPr>
    <w:rPr>
      <w:rFonts w:eastAsiaTheme="minorEastAsia" w:cstheme="minorBidi"/>
      <w:b/>
      <w:caps/>
      <w:sz w:val="22"/>
      <w:szCs w:val="22"/>
      <w:lang w:val="en-GB" w:eastAsia="zh-CN"/>
    </w:rPr>
  </w:style>
  <w:style w:type="paragraph" w:customStyle="1" w:styleId="BodyNumberedList">
    <w:name w:val="Body Numbered List"/>
    <w:basedOn w:val="Normal"/>
    <w:qFormat/>
    <w:rsid w:val="00E20015"/>
    <w:pPr>
      <w:numPr>
        <w:ilvl w:val="1"/>
        <w:numId w:val="7"/>
      </w:numPr>
      <w:tabs>
        <w:tab w:val="left" w:pos="1440"/>
      </w:tabs>
      <w:spacing w:after="240"/>
      <w:ind w:left="0" w:firstLine="0"/>
      <w:jc w:val="both"/>
    </w:pPr>
    <w:rPr>
      <w:rFonts w:ascii="Times New Roman" w:eastAsiaTheme="minorEastAsia" w:hAnsi="Times New Roman" w:cstheme="minorBidi"/>
      <w:szCs w:val="22"/>
    </w:rPr>
  </w:style>
  <w:style w:type="numbering" w:customStyle="1" w:styleId="Threelevelnumberedlist">
    <w:name w:val="Three level numbered list"/>
    <w:uiPriority w:val="99"/>
    <w:rsid w:val="00E20015"/>
    <w:pPr>
      <w:numPr>
        <w:numId w:val="7"/>
      </w:numPr>
    </w:pPr>
  </w:style>
  <w:style w:type="paragraph" w:customStyle="1" w:styleId="BodyNumber3">
    <w:name w:val="Body Number 3"/>
    <w:basedOn w:val="BodyNumberedList"/>
    <w:qFormat/>
    <w:rsid w:val="00E20015"/>
    <w:pPr>
      <w:numPr>
        <w:ilvl w:val="2"/>
      </w:numPr>
      <w:tabs>
        <w:tab w:val="num" w:pos="360"/>
      </w:tabs>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2016-10-31T14:53:00Z</dcterms:created>
  <dcterms:modified xsi:type="dcterms:W3CDTF">2016-11-01T06:47:00Z</dcterms:modified>
</cp:coreProperties>
</file>